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1F7" w:rsidRPr="00A701F7" w:rsidRDefault="00CF5F25" w:rsidP="0026344E">
      <w:pPr>
        <w:pStyle w:val="Default"/>
        <w:widowControl w:val="0"/>
        <w:adjustRightInd/>
        <w:spacing w:beforeLines="100" w:afterLines="150"/>
        <w:jc w:val="center"/>
        <w:rPr>
          <w:rFonts w:ascii="Times New Roman" w:hAnsi="Times New Roman" w:cs="Times New Roman"/>
          <w:sz w:val="36"/>
          <w:szCs w:val="21"/>
          <w:lang w:eastAsia="zh-CN"/>
        </w:rPr>
      </w:pPr>
      <w:r w:rsidRPr="00CF5F25">
        <w:rPr>
          <w:rFonts w:ascii="Times New Roman" w:eastAsia="MS Mincho" w:hAnsi="Times New Roman" w:cs="Times New Roman"/>
          <w:noProof/>
          <w:sz w:val="36"/>
          <w:szCs w:val="21"/>
          <w:lang w:eastAsia="zh-CN"/>
        </w:rPr>
        <w:pict>
          <v:group id="_x0000_s1031" style="position:absolute;left:0;text-align:left;margin-left:371.65pt;margin-top:-54.3pt;width:108.1pt;height:56.5pt;z-index:251658240" coordorigin="5938,4698" coordsize="2162,1130">
            <v:oval id="_x0000_s1032" style="position:absolute;left:5938;top:4698;width:1160;height:1128" fillcolor="#af1e96" strokecolor="#af1e96">
              <o:lock v:ext="edit" aspectratio="t"/>
            </v:oval>
            <v:rect id="_x0000_s1033" style="position:absolute;left:6292;top:5655;width:1808;height:173" stroked="f" strokecolor="white" strokeweight="0">
              <v:fill opacity="0"/>
              <v:textbox style="mso-next-textbox:#_x0000_s1033" inset="0,0,0,0">
                <w:txbxContent>
                  <w:p w:rsidR="0026344E" w:rsidRPr="005D1609" w:rsidRDefault="0026344E" w:rsidP="008C0834">
                    <w:pPr>
                      <w:pStyle w:val="110"/>
                      <w:rPr>
                        <w:spacing w:val="2"/>
                      </w:rPr>
                    </w:pPr>
                    <w:r w:rsidRPr="005D1609">
                      <w:rPr>
                        <w:color w:val="FFFFFF"/>
                        <w:spacing w:val="2"/>
                      </w:rPr>
                      <w:t xml:space="preserve">DAVID </w:t>
                    </w:r>
                    <w:r w:rsidRPr="005D1609">
                      <w:rPr>
                        <w:rFonts w:hint="eastAsia"/>
                        <w:spacing w:val="2"/>
                      </w:rPr>
                      <w:t xml:space="preserve"> P</w:t>
                    </w:r>
                    <w:r w:rsidRPr="005D1609">
                      <w:rPr>
                        <w:spacing w:val="2"/>
                      </w:rPr>
                      <w:t>UBLISHING</w:t>
                    </w:r>
                  </w:p>
                </w:txbxContent>
              </v:textbox>
            </v:rect>
            <v:rect id="_x0000_s1034" style="position:absolute;left:5941;top:4816;width:782;height:778" stroked="f">
              <v:fill opacity="0"/>
              <v:textbox style="mso-next-textbox:#_x0000_s1034" inset="0,0,0,0">
                <w:txbxContent>
                  <w:p w:rsidR="0026344E" w:rsidRPr="0091651F" w:rsidRDefault="0026344E" w:rsidP="008C0834">
                    <w:pPr>
                      <w:pStyle w:val="12"/>
                    </w:pPr>
                    <w:r w:rsidRPr="0091651F">
                      <w:rPr>
                        <w:rFonts w:hint="eastAsia"/>
                      </w:rPr>
                      <w:t>D</w:t>
                    </w:r>
                  </w:p>
                </w:txbxContent>
              </v:textbox>
            </v:rect>
          </v:group>
        </w:pict>
      </w:r>
      <w:r w:rsidR="00A701F7" w:rsidRPr="00A701F7">
        <w:rPr>
          <w:rFonts w:ascii="Times New Roman" w:eastAsia="MS Mincho" w:hAnsi="Times New Roman" w:cs="Times New Roman"/>
          <w:sz w:val="36"/>
          <w:szCs w:val="21"/>
        </w:rPr>
        <w:t xml:space="preserve">Empirical Examination of Market Reaction to Transfer Pricing Taxation Announcement in </w:t>
      </w:r>
      <w:r w:rsidR="00927404" w:rsidRPr="00A701F7">
        <w:rPr>
          <w:rFonts w:ascii="Times New Roman" w:eastAsia="MS Mincho" w:hAnsi="Times New Roman" w:cs="Times New Roman"/>
          <w:sz w:val="36"/>
          <w:szCs w:val="21"/>
        </w:rPr>
        <w:t>Press</w:t>
      </w:r>
      <w:r w:rsidR="00927404">
        <w:rPr>
          <w:rFonts w:ascii="Times New Roman" w:hAnsi="Times New Roman" w:cs="Times New Roman" w:hint="eastAsia"/>
          <w:sz w:val="36"/>
          <w:szCs w:val="21"/>
          <w:lang w:eastAsia="zh-CN"/>
        </w:rPr>
        <w:t xml:space="preserve">: </w:t>
      </w:r>
      <w:r w:rsidR="00456232">
        <w:rPr>
          <w:rFonts w:ascii="Times New Roman" w:hAnsi="Times New Roman" w:cs="Times New Roman" w:hint="eastAsia"/>
          <w:sz w:val="36"/>
          <w:szCs w:val="21"/>
          <w:lang w:eastAsia="zh-CN"/>
        </w:rPr>
        <w:t xml:space="preserve">A </w:t>
      </w:r>
      <w:r w:rsidR="00A701F7" w:rsidRPr="00A701F7">
        <w:rPr>
          <w:rFonts w:ascii="Times New Roman" w:eastAsia="MS Mincho" w:hAnsi="Times New Roman" w:cs="Times New Roman"/>
          <w:sz w:val="36"/>
          <w:szCs w:val="21"/>
        </w:rPr>
        <w:t>Japanese Perspective</w:t>
      </w:r>
      <w:r w:rsidR="00A701F7" w:rsidRPr="00A701F7">
        <w:rPr>
          <w:rStyle w:val="a7"/>
          <w:rFonts w:ascii="Times New Roman" w:eastAsia="MS Mincho" w:hAnsi="Times New Roman" w:cs="Times New Roman"/>
          <w:sz w:val="36"/>
          <w:szCs w:val="21"/>
        </w:rPr>
        <w:footnoteReference w:customMarkFollows="1" w:id="2"/>
        <w:sym w:font="Symbol" w:char="F02A"/>
      </w:r>
    </w:p>
    <w:p w:rsidR="00A701F7" w:rsidRPr="00A701F7" w:rsidRDefault="00A701F7" w:rsidP="001F0251">
      <w:pPr>
        <w:pStyle w:val="Default"/>
        <w:widowControl w:val="0"/>
        <w:adjustRightInd/>
        <w:jc w:val="center"/>
        <w:rPr>
          <w:rFonts w:ascii="Times New Roman" w:hAnsi="Times New Roman" w:cs="Times New Roman"/>
          <w:sz w:val="21"/>
          <w:szCs w:val="21"/>
          <w:lang w:eastAsia="zh-CN"/>
        </w:rPr>
      </w:pPr>
      <w:r w:rsidRPr="00A701F7">
        <w:rPr>
          <w:rFonts w:ascii="Times New Roman" w:eastAsia="MS Mincho" w:hAnsi="Times New Roman" w:cs="Times New Roman"/>
          <w:sz w:val="21"/>
          <w:szCs w:val="21"/>
        </w:rPr>
        <w:t>Hiroshi Ohnuma</w:t>
      </w:r>
      <w:r w:rsidRPr="00A701F7">
        <w:rPr>
          <w:rStyle w:val="a7"/>
          <w:rFonts w:ascii="Times New Roman" w:eastAsia="MS Mincho" w:hAnsi="Times New Roman" w:cs="Times New Roman"/>
          <w:sz w:val="21"/>
          <w:szCs w:val="21"/>
        </w:rPr>
        <w:footnoteReference w:customMarkFollows="1" w:id="3"/>
        <w:sym w:font="Symbol" w:char="F020"/>
      </w:r>
    </w:p>
    <w:p w:rsidR="00A701F7" w:rsidRPr="000D7858" w:rsidRDefault="00A701F7" w:rsidP="001F0251">
      <w:pPr>
        <w:pStyle w:val="Default"/>
        <w:widowControl w:val="0"/>
        <w:adjustRightInd/>
        <w:jc w:val="center"/>
        <w:rPr>
          <w:rFonts w:ascii="Times New Roman" w:eastAsia="MS Mincho" w:hAnsi="Times New Roman" w:cs="Times New Roman"/>
          <w:sz w:val="18"/>
          <w:szCs w:val="21"/>
        </w:rPr>
      </w:pPr>
      <w:r w:rsidRPr="000D7858">
        <w:rPr>
          <w:rFonts w:ascii="Times New Roman" w:eastAsia="MS Mincho" w:hAnsi="Times New Roman" w:cs="Times New Roman"/>
          <w:sz w:val="18"/>
          <w:szCs w:val="21"/>
        </w:rPr>
        <w:t xml:space="preserve">Tokyo University of Science, </w:t>
      </w:r>
      <w:r w:rsidR="0057434E" w:rsidRPr="000D7858">
        <w:rPr>
          <w:rFonts w:ascii="Times New Roman" w:eastAsia="MS Mincho" w:hAnsi="Times New Roman" w:cs="Times New Roman"/>
          <w:sz w:val="18"/>
          <w:szCs w:val="21"/>
        </w:rPr>
        <w:t>Tokyo</w:t>
      </w:r>
      <w:r w:rsidR="0057434E" w:rsidRPr="000D7858">
        <w:rPr>
          <w:rFonts w:ascii="Times New Roman" w:hAnsi="Times New Roman" w:cs="Times New Roman" w:hint="eastAsia"/>
          <w:sz w:val="18"/>
          <w:szCs w:val="21"/>
          <w:lang w:eastAsia="zh-CN"/>
        </w:rPr>
        <w:t>,</w:t>
      </w:r>
      <w:r w:rsidR="0057434E" w:rsidRPr="000D7858">
        <w:rPr>
          <w:rFonts w:ascii="Times New Roman" w:eastAsia="MS Mincho" w:hAnsi="Times New Roman" w:cs="Times New Roman"/>
          <w:sz w:val="18"/>
          <w:szCs w:val="21"/>
        </w:rPr>
        <w:t xml:space="preserve"> </w:t>
      </w:r>
      <w:r w:rsidRPr="000D7858">
        <w:rPr>
          <w:rFonts w:ascii="Times New Roman" w:eastAsia="MS Mincho" w:hAnsi="Times New Roman" w:cs="Times New Roman"/>
          <w:sz w:val="18"/>
          <w:szCs w:val="21"/>
        </w:rPr>
        <w:t>Japan</w:t>
      </w:r>
    </w:p>
    <w:p w:rsidR="00A701F7" w:rsidRPr="00A701F7" w:rsidRDefault="00A701F7" w:rsidP="001F0251">
      <w:pPr>
        <w:pStyle w:val="Default"/>
        <w:widowControl w:val="0"/>
        <w:adjustRightInd/>
        <w:jc w:val="center"/>
        <w:rPr>
          <w:rFonts w:ascii="Times New Roman" w:eastAsia="MS Mincho" w:hAnsi="Times New Roman" w:cs="Times New Roman"/>
          <w:sz w:val="21"/>
          <w:szCs w:val="21"/>
        </w:rPr>
      </w:pPr>
      <w:r w:rsidRPr="00A701F7">
        <w:rPr>
          <w:rFonts w:ascii="Times New Roman" w:eastAsia="MS Mincho" w:hAnsi="Times New Roman" w:cs="Times New Roman"/>
          <w:sz w:val="21"/>
          <w:szCs w:val="21"/>
        </w:rPr>
        <w:t>Keikichi Kato</w:t>
      </w:r>
    </w:p>
    <w:p w:rsidR="00A701F7" w:rsidRPr="000D7858" w:rsidRDefault="00A701F7" w:rsidP="001F0251">
      <w:pPr>
        <w:pStyle w:val="Default"/>
        <w:widowControl w:val="0"/>
        <w:adjustRightInd/>
        <w:jc w:val="center"/>
        <w:rPr>
          <w:rFonts w:ascii="Times New Roman" w:eastAsia="MS Mincho" w:hAnsi="Times New Roman" w:cs="Times New Roman"/>
          <w:sz w:val="18"/>
          <w:szCs w:val="21"/>
        </w:rPr>
      </w:pPr>
      <w:r w:rsidRPr="000D7858">
        <w:rPr>
          <w:rFonts w:ascii="Times New Roman" w:eastAsia="MS Mincho" w:hAnsi="Times New Roman" w:cs="Times New Roman"/>
          <w:sz w:val="18"/>
          <w:szCs w:val="21"/>
        </w:rPr>
        <w:t xml:space="preserve">Hirosaki University, </w:t>
      </w:r>
      <w:r w:rsidR="0057434E" w:rsidRPr="000D7858">
        <w:rPr>
          <w:rFonts w:ascii="Times New Roman" w:eastAsia="MS Mincho" w:hAnsi="Times New Roman" w:cs="Times New Roman"/>
          <w:sz w:val="18"/>
          <w:szCs w:val="21"/>
        </w:rPr>
        <w:t>Hirosaki</w:t>
      </w:r>
      <w:r w:rsidR="0057434E" w:rsidRPr="000D7858">
        <w:rPr>
          <w:rFonts w:ascii="Times New Roman" w:hAnsi="Times New Roman" w:cs="Times New Roman" w:hint="eastAsia"/>
          <w:sz w:val="18"/>
          <w:szCs w:val="21"/>
          <w:lang w:eastAsia="zh-CN"/>
        </w:rPr>
        <w:t>,</w:t>
      </w:r>
      <w:r w:rsidR="0057434E" w:rsidRPr="000D7858">
        <w:rPr>
          <w:rFonts w:ascii="Times New Roman" w:eastAsia="MS Mincho" w:hAnsi="Times New Roman" w:cs="Times New Roman"/>
          <w:sz w:val="18"/>
          <w:szCs w:val="21"/>
        </w:rPr>
        <w:t xml:space="preserve"> </w:t>
      </w:r>
      <w:r w:rsidRPr="000D7858">
        <w:rPr>
          <w:rFonts w:ascii="Times New Roman" w:eastAsia="MS Mincho" w:hAnsi="Times New Roman" w:cs="Times New Roman"/>
          <w:sz w:val="18"/>
          <w:szCs w:val="21"/>
        </w:rPr>
        <w:t>Japan</w:t>
      </w:r>
    </w:p>
    <w:p w:rsidR="00A701F7" w:rsidRDefault="00A701F7" w:rsidP="001F0251">
      <w:pPr>
        <w:pStyle w:val="Default"/>
        <w:widowControl w:val="0"/>
        <w:adjustRightInd/>
        <w:jc w:val="both"/>
        <w:rPr>
          <w:rFonts w:ascii="Times New Roman" w:hAnsi="Times New Roman" w:cs="Times New Roman"/>
          <w:sz w:val="21"/>
          <w:szCs w:val="21"/>
          <w:lang w:eastAsia="zh-CN"/>
        </w:rPr>
      </w:pPr>
    </w:p>
    <w:p w:rsidR="00A701F7" w:rsidRPr="00211498" w:rsidRDefault="00A701F7" w:rsidP="001F0251">
      <w:pPr>
        <w:pStyle w:val="2011-15"/>
        <w:rPr>
          <w:spacing w:val="1"/>
        </w:rPr>
      </w:pPr>
      <w:r w:rsidRPr="00211498">
        <w:rPr>
          <w:spacing w:val="1"/>
        </w:rPr>
        <w:t xml:space="preserve">The Japanese Taxation Agency </w:t>
      </w:r>
      <w:r w:rsidR="00D776D4">
        <w:rPr>
          <w:rFonts w:hint="eastAsia"/>
          <w:spacing w:val="1"/>
        </w:rPr>
        <w:t xml:space="preserve">(JTA) </w:t>
      </w:r>
      <w:r w:rsidRPr="00211498">
        <w:rPr>
          <w:spacing w:val="1"/>
        </w:rPr>
        <w:t>introduced transfer pricing taxation</w:t>
      </w:r>
      <w:r w:rsidR="00927404" w:rsidRPr="00211498">
        <w:rPr>
          <w:rFonts w:hint="eastAsia"/>
          <w:spacing w:val="1"/>
        </w:rPr>
        <w:t xml:space="preserve"> (TPT)</w:t>
      </w:r>
      <w:r w:rsidRPr="00211498">
        <w:rPr>
          <w:spacing w:val="1"/>
        </w:rPr>
        <w:t xml:space="preserve"> in order to suppress the outflow of profits and therefore taxes of Japanese companies, which are expanding overseas. There have been many press reports regarding the application of </w:t>
      </w:r>
      <w:r w:rsidR="00927404" w:rsidRPr="00211498">
        <w:rPr>
          <w:rFonts w:hint="eastAsia"/>
          <w:spacing w:val="1"/>
        </w:rPr>
        <w:t>TPT</w:t>
      </w:r>
      <w:r w:rsidRPr="00211498">
        <w:rPr>
          <w:spacing w:val="1"/>
        </w:rPr>
        <w:t>, and so there is much publ</w:t>
      </w:r>
      <w:r w:rsidR="00927404" w:rsidRPr="00211498">
        <w:rPr>
          <w:spacing w:val="1"/>
        </w:rPr>
        <w:t>ic attention on this issue. TPT</w:t>
      </w:r>
      <w:r w:rsidRPr="00211498">
        <w:rPr>
          <w:spacing w:val="1"/>
        </w:rPr>
        <w:t xml:space="preserve"> is applied to unnatural </w:t>
      </w:r>
      <w:r w:rsidR="005973CB" w:rsidRPr="00211498">
        <w:rPr>
          <w:spacing w:val="1"/>
        </w:rPr>
        <w:t xml:space="preserve">transfer prices </w:t>
      </w:r>
      <w:r w:rsidRPr="00211498">
        <w:rPr>
          <w:spacing w:val="1"/>
        </w:rPr>
        <w:t>(</w:t>
      </w:r>
      <w:r w:rsidR="005973CB" w:rsidRPr="00211498">
        <w:rPr>
          <w:spacing w:val="1"/>
        </w:rPr>
        <w:t>TP</w:t>
      </w:r>
      <w:r w:rsidRPr="00211498">
        <w:rPr>
          <w:spacing w:val="1"/>
        </w:rPr>
        <w:t>). If TPT is applied to a multinational company (MNC), the company will need to bear enormous documentation costs in its calculation of the ratable price. In addition, in the last few years, the target of TPT is shifting to the overseas transfer of intangible assets</w:t>
      </w:r>
      <w:r w:rsidR="00927404" w:rsidRPr="00211498">
        <w:rPr>
          <w:rFonts w:hint="eastAsia"/>
          <w:spacing w:val="1"/>
        </w:rPr>
        <w:t>,</w:t>
      </w:r>
      <w:r w:rsidRPr="00211498">
        <w:rPr>
          <w:spacing w:val="1"/>
        </w:rPr>
        <w:t xml:space="preserve"> such as trademarks, royalties, patents, and charges income. As a result, companies have become more careful about TPT and investors tend to pay attention to companies’ TPT strategy. With regard to this point, this paper examines how the market evaluates news regarding TP by investigating the market reaction to an initial press report mentioning that a firm was involved in a TP manipulation and may be guilty of tax underpayment. We examine these events both because press reports are currently under intense scrutiny and because there </w:t>
      </w:r>
      <w:r w:rsidR="0026344E">
        <w:rPr>
          <w:rFonts w:hint="eastAsia"/>
          <w:spacing w:val="1"/>
        </w:rPr>
        <w:t>has</w:t>
      </w:r>
      <w:r w:rsidRPr="00211498">
        <w:rPr>
          <w:spacing w:val="1"/>
        </w:rPr>
        <w:t xml:space="preserve"> been very </w:t>
      </w:r>
      <w:r w:rsidR="0026344E">
        <w:rPr>
          <w:rFonts w:hint="eastAsia"/>
          <w:spacing w:val="1"/>
        </w:rPr>
        <w:t>little</w:t>
      </w:r>
      <w:r w:rsidRPr="00211498">
        <w:rPr>
          <w:spacing w:val="1"/>
        </w:rPr>
        <w:t xml:space="preserve"> research on firms that engage in tax sheltering (see, e.g., Graham </w:t>
      </w:r>
      <w:r w:rsidR="00EF0713" w:rsidRPr="00211498">
        <w:rPr>
          <w:rFonts w:hint="eastAsia"/>
          <w:spacing w:val="1"/>
        </w:rPr>
        <w:t>&amp;</w:t>
      </w:r>
      <w:r w:rsidRPr="00211498">
        <w:rPr>
          <w:spacing w:val="1"/>
        </w:rPr>
        <w:t xml:space="preserve"> Tucker, </w:t>
      </w:r>
      <w:r w:rsidRPr="00532275">
        <w:rPr>
          <w:spacing w:val="1"/>
        </w:rPr>
        <w:t>200</w:t>
      </w:r>
      <w:r w:rsidR="006622E8" w:rsidRPr="00532275">
        <w:rPr>
          <w:rFonts w:hint="eastAsia"/>
          <w:spacing w:val="1"/>
        </w:rPr>
        <w:t>6</w:t>
      </w:r>
      <w:r w:rsidRPr="00211498">
        <w:rPr>
          <w:spacing w:val="1"/>
        </w:rPr>
        <w:t xml:space="preserve">; Hanlon </w:t>
      </w:r>
      <w:r w:rsidR="00EF0713" w:rsidRPr="00211498">
        <w:rPr>
          <w:rFonts w:hint="eastAsia"/>
          <w:spacing w:val="1"/>
        </w:rPr>
        <w:t>&amp;</w:t>
      </w:r>
      <w:r w:rsidRPr="00211498">
        <w:rPr>
          <w:spacing w:val="1"/>
        </w:rPr>
        <w:t xml:space="preserve"> Slemrod, 2009). Some view the fact that not all firms engage in tax sheltering as surprising because of the widespread view that shelters, at least in the 1990s, in expectation, offered a positive net present value position. The potential negative public relations effect is often cited as one reason for this “</w:t>
      </w:r>
      <w:bookmarkStart w:id="0" w:name="OLE_LINK1"/>
      <w:r w:rsidRPr="00211498">
        <w:rPr>
          <w:spacing w:val="1"/>
        </w:rPr>
        <w:t>under</w:t>
      </w:r>
      <w:r w:rsidR="00EF0713" w:rsidRPr="00211498">
        <w:rPr>
          <w:rFonts w:hint="eastAsia"/>
          <w:spacing w:val="1"/>
        </w:rPr>
        <w:t>-</w:t>
      </w:r>
      <w:r w:rsidRPr="00211498">
        <w:rPr>
          <w:spacing w:val="1"/>
        </w:rPr>
        <w:t>sheltering</w:t>
      </w:r>
      <w:bookmarkEnd w:id="0"/>
      <w:r w:rsidRPr="00211498">
        <w:rPr>
          <w:spacing w:val="1"/>
        </w:rPr>
        <w:t>” phenomeno</w:t>
      </w:r>
      <w:r w:rsidR="00211498">
        <w:rPr>
          <w:spacing w:val="1"/>
        </w:rPr>
        <w:t>n (Bankman, 2004). On the event</w:t>
      </w:r>
      <w:r w:rsidR="00211498">
        <w:rPr>
          <w:rFonts w:hint="eastAsia"/>
          <w:spacing w:val="1"/>
        </w:rPr>
        <w:t xml:space="preserve"> </w:t>
      </w:r>
      <w:r w:rsidRPr="00211498">
        <w:rPr>
          <w:spacing w:val="1"/>
        </w:rPr>
        <w:t>study analysis, we find</w:t>
      </w:r>
      <w:r w:rsidR="00211498" w:rsidRPr="00211498">
        <w:rPr>
          <w:rFonts w:hint="eastAsia"/>
          <w:spacing w:val="1"/>
        </w:rPr>
        <w:t xml:space="preserve"> that</w:t>
      </w:r>
      <w:r w:rsidRPr="00211498">
        <w:rPr>
          <w:spacing w:val="1"/>
        </w:rPr>
        <w:t xml:space="preserve"> the Japanese capital market has shown a statistically significant negative reaction to the press reports. This result is due to a strong distrust of corporate activity regarding TP strategies. Moreover, in order to clarify the reason why the market responds to reports of </w:t>
      </w:r>
      <w:r w:rsidR="00211498" w:rsidRPr="00211498">
        <w:rPr>
          <w:rFonts w:hint="eastAsia"/>
          <w:spacing w:val="1"/>
        </w:rPr>
        <w:t>TPT</w:t>
      </w:r>
      <w:r w:rsidRPr="00211498">
        <w:rPr>
          <w:spacing w:val="1"/>
        </w:rPr>
        <w:t xml:space="preserve"> being applied, we compute the </w:t>
      </w:r>
      <w:bookmarkStart w:id="1" w:name="OLE_LINK4"/>
      <w:bookmarkStart w:id="2" w:name="OLE_LINK5"/>
      <w:r w:rsidRPr="00211498">
        <w:rPr>
          <w:spacing w:val="1"/>
        </w:rPr>
        <w:t>cumulative abnormal return</w:t>
      </w:r>
      <w:bookmarkEnd w:id="1"/>
      <w:bookmarkEnd w:id="2"/>
      <w:r w:rsidRPr="00211498">
        <w:rPr>
          <w:spacing w:val="1"/>
        </w:rPr>
        <w:t>s</w:t>
      </w:r>
      <w:r w:rsidR="005973CB">
        <w:rPr>
          <w:rFonts w:hint="eastAsia"/>
          <w:spacing w:val="1"/>
        </w:rPr>
        <w:t xml:space="preserve"> (CAR</w:t>
      </w:r>
      <w:r w:rsidR="00BA34FD">
        <w:rPr>
          <w:rFonts w:hint="eastAsia"/>
          <w:spacing w:val="1"/>
        </w:rPr>
        <w:t>s</w:t>
      </w:r>
      <w:r w:rsidR="005973CB">
        <w:rPr>
          <w:rFonts w:hint="eastAsia"/>
          <w:spacing w:val="1"/>
        </w:rPr>
        <w:t>)</w:t>
      </w:r>
      <w:r w:rsidRPr="00211498">
        <w:rPr>
          <w:spacing w:val="1"/>
        </w:rPr>
        <w:t xml:space="preserve"> around the date of the press report and conduct two-stage least-squares estimation to examine where this result regarding the market reaction comes from. Our results indicate that the variables for intangibl</w:t>
      </w:r>
      <w:r w:rsidR="00211498" w:rsidRPr="00211498">
        <w:rPr>
          <w:spacing w:val="1"/>
        </w:rPr>
        <w:t>e assets and effective tax rate</w:t>
      </w:r>
      <w:r w:rsidRPr="00211498">
        <w:rPr>
          <w:spacing w:val="1"/>
        </w:rPr>
        <w:t xml:space="preserve"> and </w:t>
      </w:r>
      <w:r w:rsidR="005973CB">
        <w:rPr>
          <w:rFonts w:hint="eastAsia"/>
          <w:spacing w:val="1"/>
        </w:rPr>
        <w:t xml:space="preserve">the </w:t>
      </w:r>
      <w:r w:rsidRPr="00211498">
        <w:rPr>
          <w:spacing w:val="1"/>
        </w:rPr>
        <w:t>variables which represent the extent of corporate governance</w:t>
      </w:r>
      <w:r w:rsidR="006152F9">
        <w:rPr>
          <w:rFonts w:hint="eastAsia"/>
          <w:spacing w:val="1"/>
        </w:rPr>
        <w:t xml:space="preserve"> (CG)</w:t>
      </w:r>
      <w:r w:rsidRPr="00211498">
        <w:rPr>
          <w:spacing w:val="1"/>
        </w:rPr>
        <w:t xml:space="preserve"> are statistically significant with respect to these reactions.</w:t>
      </w:r>
    </w:p>
    <w:p w:rsidR="00A701F7" w:rsidRPr="00A701F7" w:rsidRDefault="00A701F7" w:rsidP="0026344E">
      <w:pPr>
        <w:pStyle w:val="2011-15"/>
        <w:spacing w:beforeLines="50" w:afterLines="100"/>
      </w:pPr>
      <w:r>
        <w:rPr>
          <w:i/>
        </w:rPr>
        <w:t>Key</w:t>
      </w:r>
      <w:r>
        <w:rPr>
          <w:rFonts w:hint="eastAsia"/>
          <w:i/>
        </w:rPr>
        <w:t>w</w:t>
      </w:r>
      <w:r w:rsidRPr="00A701F7">
        <w:rPr>
          <w:i/>
        </w:rPr>
        <w:t>ords:</w:t>
      </w:r>
      <w:r w:rsidRPr="00A701F7">
        <w:t xml:space="preserve"> tax management, tax avoidance, transfer pricing taxation</w:t>
      </w:r>
      <w:r w:rsidR="00211498">
        <w:rPr>
          <w:rFonts w:hint="eastAsia"/>
        </w:rPr>
        <w:t xml:space="preserve"> (TPT)</w:t>
      </w:r>
      <w:r w:rsidRPr="00A701F7">
        <w:t>, event study, intangible assets, corporate governance</w:t>
      </w:r>
      <w:r w:rsidR="006152F9">
        <w:rPr>
          <w:rFonts w:hint="eastAsia"/>
        </w:rPr>
        <w:t xml:space="preserve"> (CG)</w:t>
      </w:r>
    </w:p>
    <w:p w:rsidR="00A701F7" w:rsidRPr="00A701F7" w:rsidRDefault="00A701F7" w:rsidP="0026344E">
      <w:pPr>
        <w:pStyle w:val="1"/>
        <w:keepNext w:val="0"/>
        <w:keepLines w:val="0"/>
        <w:widowControl w:val="0"/>
        <w:suppressAutoHyphens/>
        <w:kinsoku w:val="0"/>
        <w:overflowPunct w:val="0"/>
        <w:autoSpaceDE w:val="0"/>
        <w:autoSpaceDN w:val="0"/>
        <w:spacing w:beforeLines="50" w:afterLines="30" w:line="240" w:lineRule="auto"/>
        <w:ind w:left="0" w:firstLine="0"/>
        <w:textAlignment w:val="baseline"/>
        <w:rPr>
          <w:b w:val="0"/>
          <w:spacing w:val="2"/>
          <w:szCs w:val="21"/>
        </w:rPr>
      </w:pPr>
      <w:r w:rsidRPr="00A701F7">
        <w:rPr>
          <w:szCs w:val="21"/>
        </w:rPr>
        <w:lastRenderedPageBreak/>
        <w:t>Introduction</w:t>
      </w:r>
    </w:p>
    <w:p w:rsidR="00A701F7" w:rsidRPr="00A701F7" w:rsidRDefault="00A701F7" w:rsidP="001F0251">
      <w:pPr>
        <w:ind w:firstLine="420"/>
      </w:pPr>
      <w:r w:rsidRPr="00A701F7">
        <w:t>As far as the many companies which aim to go abroad (usuall</w:t>
      </w:r>
      <w:r w:rsidR="00D776D4">
        <w:t>y referred to as multinational companies</w:t>
      </w:r>
      <w:r w:rsidR="00D776D4">
        <w:rPr>
          <w:rFonts w:hint="eastAsia"/>
        </w:rPr>
        <w:t xml:space="preserve"> (</w:t>
      </w:r>
      <w:r w:rsidRPr="00A701F7">
        <w:t>MNCs)</w:t>
      </w:r>
      <w:r w:rsidR="00D776D4">
        <w:rPr>
          <w:rFonts w:hint="eastAsia"/>
        </w:rPr>
        <w:t>)</w:t>
      </w:r>
      <w:r w:rsidRPr="00A701F7">
        <w:t xml:space="preserve"> are concerned, light taxation countries are the most advantageous locations for companies with high corporate taxes.</w:t>
      </w:r>
      <w:r w:rsidR="00D776D4">
        <w:rPr>
          <w:rFonts w:hint="eastAsia"/>
        </w:rPr>
        <w:t xml:space="preserve"> </w:t>
      </w:r>
      <w:r w:rsidRPr="00A701F7">
        <w:t>From the viewpoint of MNC’s transfer p</w:t>
      </w:r>
      <w:r w:rsidR="00D776D4">
        <w:t>rices (TP), Tang (1992) explain</w:t>
      </w:r>
      <w:r w:rsidR="00D776D4">
        <w:rPr>
          <w:rFonts w:hint="eastAsia"/>
        </w:rPr>
        <w:t xml:space="preserve">ed </w:t>
      </w:r>
      <w:r w:rsidRPr="00A701F7">
        <w:t>how the TP</w:t>
      </w:r>
      <w:r w:rsidR="000A5482">
        <w:rPr>
          <w:rFonts w:hint="eastAsia"/>
        </w:rPr>
        <w:t xml:space="preserve"> is set</w:t>
      </w:r>
      <w:r w:rsidRPr="00A701F7">
        <w:t xml:space="preserve">. According to this study, </w:t>
      </w:r>
      <w:r w:rsidR="000A5482">
        <w:rPr>
          <w:rFonts w:hint="eastAsia"/>
        </w:rPr>
        <w:t xml:space="preserve">the </w:t>
      </w:r>
      <w:r w:rsidRPr="00A701F7">
        <w:t xml:space="preserve">TP </w:t>
      </w:r>
      <w:r w:rsidR="000A5482">
        <w:rPr>
          <w:rFonts w:hint="eastAsia"/>
        </w:rPr>
        <w:t xml:space="preserve">is set </w:t>
      </w:r>
      <w:r w:rsidRPr="00A701F7">
        <w:t xml:space="preserve">based on </w:t>
      </w:r>
      <w:r w:rsidR="00D776D4">
        <w:t>“</w:t>
      </w:r>
      <w:r w:rsidRPr="00A701F7">
        <w:t>the company-wide profit maximization strategy</w:t>
      </w:r>
      <w:r w:rsidR="00D776D4">
        <w:t>”</w:t>
      </w:r>
      <w:r w:rsidRPr="00A701F7">
        <w:t xml:space="preserve"> and it is adjusted in consideration of the </w:t>
      </w:r>
      <w:r w:rsidR="00D776D4">
        <w:t>“</w:t>
      </w:r>
      <w:r w:rsidRPr="00A701F7">
        <w:t>difference between the corporate tax rate of each country and the Japanese corporate tax system</w:t>
      </w:r>
      <w:r w:rsidR="00D776D4">
        <w:t>”</w:t>
      </w:r>
      <w:r w:rsidR="00D776D4">
        <w:rPr>
          <w:rFonts w:hint="eastAsia"/>
        </w:rPr>
        <w:t xml:space="preserve"> (p.</w:t>
      </w:r>
      <w:r w:rsidR="006622E8">
        <w:rPr>
          <w:rFonts w:hint="eastAsia"/>
        </w:rPr>
        <w:t xml:space="preserve"> 89</w:t>
      </w:r>
      <w:r w:rsidR="00D776D4">
        <w:rPr>
          <w:rFonts w:hint="eastAsia"/>
        </w:rPr>
        <w:t>)</w:t>
      </w:r>
      <w:r w:rsidRPr="00A701F7">
        <w:t xml:space="preserve">. Prior studies note that the main factor is the difference between the domestic corporate tax rate and the foreign tax rate when an MNC sets </w:t>
      </w:r>
      <w:r w:rsidR="00D776D4">
        <w:rPr>
          <w:rFonts w:hint="eastAsia"/>
        </w:rPr>
        <w:t xml:space="preserve">the </w:t>
      </w:r>
      <w:r w:rsidRPr="00A701F7">
        <w:t>TP. On the other hand, since the Japanese government purports to be in favor of</w:t>
      </w:r>
      <w:r w:rsidR="00D776D4">
        <w:rPr>
          <w:rFonts w:hint="eastAsia"/>
        </w:rPr>
        <w:t xml:space="preserve"> </w:t>
      </w:r>
      <w:r w:rsidRPr="00A701F7">
        <w:t xml:space="preserve">the suppression of overseas outflow of domestic income, in order to cope with this MNC TP strategy, the Japanese Taxation Agency (JTA) has introduced </w:t>
      </w:r>
      <w:bookmarkStart w:id="3" w:name="OLE_LINK2"/>
      <w:bookmarkStart w:id="4" w:name="OLE_LINK3"/>
      <w:r w:rsidRPr="00A701F7">
        <w:t>transfer pricing taxation</w:t>
      </w:r>
      <w:bookmarkEnd w:id="3"/>
      <w:bookmarkEnd w:id="4"/>
      <w:r w:rsidRPr="00A701F7">
        <w:t xml:space="preserve"> (TPT) and taken a legally strict approach to the tax returns of foreign income for a quarter century</w:t>
      </w:r>
      <w:r w:rsidR="002A56DC">
        <w:rPr>
          <w:rFonts w:hint="eastAsia"/>
        </w:rPr>
        <w:t>.</w:t>
      </w:r>
      <w:r w:rsidRPr="00A701F7">
        <w:rPr>
          <w:color w:val="000000"/>
          <w:vertAlign w:val="superscript"/>
        </w:rPr>
        <w:footnoteReference w:id="4"/>
      </w:r>
    </w:p>
    <w:p w:rsidR="00A701F7" w:rsidRPr="000A5482" w:rsidRDefault="00A701F7" w:rsidP="001F0251">
      <w:pPr>
        <w:ind w:firstLine="416"/>
        <w:rPr>
          <w:spacing w:val="-1"/>
        </w:rPr>
      </w:pPr>
      <w:r w:rsidRPr="000A5482">
        <w:rPr>
          <w:spacing w:val="-1"/>
        </w:rPr>
        <w:t xml:space="preserve">There is currently a high degree of public attention paid to newspaper reports about the application of TPT. TPT is applied to unnatural TP. If the tax authority takes affirmative steps </w:t>
      </w:r>
      <w:r w:rsidR="000A5482" w:rsidRPr="000A5482">
        <w:rPr>
          <w:rFonts w:hint="eastAsia"/>
          <w:spacing w:val="-1"/>
        </w:rPr>
        <w:t xml:space="preserve">and </w:t>
      </w:r>
      <w:r w:rsidRPr="000A5482">
        <w:rPr>
          <w:spacing w:val="-1"/>
        </w:rPr>
        <w:t xml:space="preserve">enforcement measures </w:t>
      </w:r>
      <w:r w:rsidR="000A5482" w:rsidRPr="000A5482">
        <w:rPr>
          <w:rFonts w:hint="eastAsia"/>
          <w:spacing w:val="-1"/>
        </w:rPr>
        <w:t xml:space="preserve">to apply </w:t>
      </w:r>
      <w:r w:rsidRPr="000A5482">
        <w:rPr>
          <w:spacing w:val="-1"/>
        </w:rPr>
        <w:t>TPT to</w:t>
      </w:r>
      <w:r w:rsidR="000A5482" w:rsidRPr="000A5482">
        <w:rPr>
          <w:rFonts w:hint="eastAsia"/>
          <w:spacing w:val="-1"/>
        </w:rPr>
        <w:t xml:space="preserve"> an</w:t>
      </w:r>
      <w:r w:rsidRPr="000A5482">
        <w:rPr>
          <w:spacing w:val="-1"/>
        </w:rPr>
        <w:t xml:space="preserve"> MNC, the </w:t>
      </w:r>
      <w:r w:rsidR="000A5482" w:rsidRPr="000A5482">
        <w:rPr>
          <w:rFonts w:hint="eastAsia"/>
          <w:spacing w:val="-1"/>
        </w:rPr>
        <w:t>company</w:t>
      </w:r>
      <w:r w:rsidRPr="000A5482">
        <w:rPr>
          <w:spacing w:val="-1"/>
        </w:rPr>
        <w:t xml:space="preserve"> will need to bear enormous documentation costs in its calculation of</w:t>
      </w:r>
      <w:r w:rsidR="00A45B9F" w:rsidRPr="000A5482">
        <w:rPr>
          <w:rFonts w:hint="eastAsia"/>
          <w:spacing w:val="-1"/>
        </w:rPr>
        <w:t xml:space="preserve"> </w:t>
      </w:r>
      <w:r w:rsidRPr="000A5482">
        <w:rPr>
          <w:spacing w:val="-1"/>
        </w:rPr>
        <w:t>the ratable price. In addition, in the last few years, the target of TPT is shifting from the overseas transfer of tangible assets, such as inventories, property, plant, and equipment, to intangible assets such as trademarks, royalties, patents, and charges income. As a result, companies have become more careful about TPT and investors tend to pay attention to companies’ TPT strategy.</w:t>
      </w:r>
    </w:p>
    <w:p w:rsidR="00A701F7" w:rsidRPr="00A701F7" w:rsidRDefault="00A701F7" w:rsidP="001F0251">
      <w:pPr>
        <w:ind w:firstLine="420"/>
      </w:pPr>
      <w:r w:rsidRPr="00A701F7">
        <w:t>This paper examines how the market evaluates news regarding TP by investigating the market reaction to an initial press report mentioning that a firm was involved in a TP manipulation and may be guilty of tax underpayment. We examine these events both because press reports are currently under intense scrutiny and because there has been very little research on firms that engage in tax sheltering (see, e.</w:t>
      </w:r>
      <w:r w:rsidRPr="00532275">
        <w:t xml:space="preserve">g., Graham </w:t>
      </w:r>
      <w:r w:rsidR="00ED4D2F" w:rsidRPr="00532275">
        <w:rPr>
          <w:rFonts w:hint="eastAsia"/>
        </w:rPr>
        <w:t>&amp;</w:t>
      </w:r>
      <w:r w:rsidRPr="00532275">
        <w:t xml:space="preserve"> Tucker, 200</w:t>
      </w:r>
      <w:r w:rsidR="006622E8" w:rsidRPr="00532275">
        <w:rPr>
          <w:rFonts w:hint="eastAsia"/>
        </w:rPr>
        <w:t>6</w:t>
      </w:r>
      <w:r w:rsidRPr="00532275">
        <w:t>;</w:t>
      </w:r>
      <w:r w:rsidR="00ED4D2F" w:rsidRPr="00532275">
        <w:rPr>
          <w:rFonts w:hint="eastAsia"/>
        </w:rPr>
        <w:t xml:space="preserve"> </w:t>
      </w:r>
      <w:r w:rsidRPr="00532275">
        <w:t xml:space="preserve">Hanlon </w:t>
      </w:r>
      <w:r w:rsidR="00ED4D2F" w:rsidRPr="00532275">
        <w:rPr>
          <w:rFonts w:hint="eastAsia"/>
        </w:rPr>
        <w:t>&amp;</w:t>
      </w:r>
      <w:r w:rsidRPr="00532275">
        <w:t xml:space="preserve"> Slemrod, 2009). Some view the fact that not all firms engage in tax sheltering as surprising because of the widespread view that shelters, at least in the 1990s, in expectation,</w:t>
      </w:r>
      <w:r w:rsidR="00ED4D2F" w:rsidRPr="00532275">
        <w:rPr>
          <w:rFonts w:hint="eastAsia"/>
        </w:rPr>
        <w:t xml:space="preserve"> </w:t>
      </w:r>
      <w:r w:rsidRPr="00532275">
        <w:t>offered a positive net present value position. The potential negative public relations effect is often cited as one rea</w:t>
      </w:r>
      <w:r w:rsidRPr="00A701F7">
        <w:t>son for this “under</w:t>
      </w:r>
      <w:r w:rsidR="00ED4D2F">
        <w:rPr>
          <w:rFonts w:hint="eastAsia"/>
        </w:rPr>
        <w:t>-</w:t>
      </w:r>
      <w:r w:rsidRPr="00A701F7">
        <w:t>sheltering” phenomenon (Bankman, 2004).</w:t>
      </w:r>
      <w:r w:rsidR="00ED4D2F">
        <w:rPr>
          <w:rFonts w:hint="eastAsia"/>
        </w:rPr>
        <w:t xml:space="preserve"> </w:t>
      </w:r>
      <w:r w:rsidRPr="00A701F7">
        <w:t>We construct our sample by searching for press articles, announcements, and newswire reports for the term “transfer price” along with either “corporate” or “corporation”, and then restrict the sample to cases where the news refers to some type of accusation or announcement in the press that the firm engaged in TP-related tax avoidance or tax aggressiveness. We find that the capital market shows</w:t>
      </w:r>
      <w:r w:rsidR="00ED4D2F">
        <w:rPr>
          <w:rFonts w:hint="eastAsia"/>
        </w:rPr>
        <w:t xml:space="preserve"> </w:t>
      </w:r>
      <w:r w:rsidRPr="00A701F7">
        <w:t>a statistically significantly negative reaction to newspaper reports of TPT. This result is due to</w:t>
      </w:r>
      <w:r w:rsidR="00ED4D2F">
        <w:rPr>
          <w:rFonts w:hint="eastAsia"/>
        </w:rPr>
        <w:t xml:space="preserve"> </w:t>
      </w:r>
      <w:r w:rsidRPr="00A701F7">
        <w:t>a strong distrust of corporate activity regarding TP strategies.</w:t>
      </w:r>
    </w:p>
    <w:p w:rsidR="00A701F7" w:rsidRPr="00A701F7" w:rsidRDefault="006152F9" w:rsidP="001F0251">
      <w:pPr>
        <w:ind w:firstLine="420"/>
      </w:pPr>
      <w:r>
        <w:t>Next, after an event</w:t>
      </w:r>
      <w:r>
        <w:rPr>
          <w:rFonts w:hint="eastAsia"/>
        </w:rPr>
        <w:t xml:space="preserve"> </w:t>
      </w:r>
      <w:r w:rsidR="00A701F7" w:rsidRPr="00A701F7">
        <w:t>study analysis, we carry out a multiple regression analysis to obtain</w:t>
      </w:r>
      <w:r>
        <w:rPr>
          <w:rFonts w:hint="eastAsia"/>
        </w:rPr>
        <w:t xml:space="preserve"> </w:t>
      </w:r>
      <w:r w:rsidR="00A701F7" w:rsidRPr="00A701F7">
        <w:t>abnormal returns (AR</w:t>
      </w:r>
      <w:r>
        <w:rPr>
          <w:rFonts w:hint="eastAsia"/>
        </w:rPr>
        <w:t>s</w:t>
      </w:r>
      <w:r w:rsidR="00A701F7" w:rsidRPr="00A701F7">
        <w:t>). Then</w:t>
      </w:r>
      <w:r>
        <w:rPr>
          <w:rFonts w:hint="eastAsia"/>
        </w:rPr>
        <w:t>,</w:t>
      </w:r>
      <w:r w:rsidR="00A701F7" w:rsidRPr="00A701F7">
        <w:t xml:space="preserve"> these daily AR</w:t>
      </w:r>
      <w:r>
        <w:rPr>
          <w:rFonts w:hint="eastAsia"/>
        </w:rPr>
        <w:t>s</w:t>
      </w:r>
      <w:r w:rsidR="00A701F7" w:rsidRPr="00A701F7">
        <w:t xml:space="preserve"> are summed</w:t>
      </w:r>
      <w:r>
        <w:rPr>
          <w:rFonts w:hint="eastAsia"/>
        </w:rPr>
        <w:t xml:space="preserve"> </w:t>
      </w:r>
      <w:r w:rsidR="00A701F7" w:rsidRPr="00A701F7">
        <w:t>to obtain the cumulative abnormal return (CAR) for a given</w:t>
      </w:r>
      <w:r>
        <w:rPr>
          <w:rFonts w:hint="eastAsia"/>
        </w:rPr>
        <w:t xml:space="preserve"> </w:t>
      </w:r>
      <w:r w:rsidR="00A701F7" w:rsidRPr="00A701F7">
        <w:t>time period. As a result, we find that intangible assets</w:t>
      </w:r>
      <w:r>
        <w:rPr>
          <w:rFonts w:hint="eastAsia"/>
        </w:rPr>
        <w:t xml:space="preserve"> </w:t>
      </w:r>
      <w:r w:rsidR="00A701F7" w:rsidRPr="00A701F7">
        <w:t>and the corporate effective tax rate</w:t>
      </w:r>
      <w:r>
        <w:rPr>
          <w:rFonts w:hint="eastAsia"/>
        </w:rPr>
        <w:t xml:space="preserve"> and</w:t>
      </w:r>
      <w:r w:rsidR="00A701F7" w:rsidRPr="00A701F7">
        <w:t xml:space="preserve"> variables</w:t>
      </w:r>
      <w:r>
        <w:rPr>
          <w:rFonts w:hint="eastAsia"/>
        </w:rPr>
        <w:t xml:space="preserve"> </w:t>
      </w:r>
      <w:r w:rsidR="00A701F7" w:rsidRPr="00A701F7">
        <w:t>relat</w:t>
      </w:r>
      <w:r>
        <w:t>ed to corporate governance (CG)</w:t>
      </w:r>
      <w:r w:rsidR="00A701F7" w:rsidRPr="00A701F7">
        <w:t xml:space="preserve"> are statistically significant with respect to the market reaction.</w:t>
      </w:r>
    </w:p>
    <w:p w:rsidR="00A701F7" w:rsidRPr="00A701F7" w:rsidRDefault="00A701F7" w:rsidP="001F0251">
      <w:pPr>
        <w:ind w:firstLine="420"/>
      </w:pPr>
      <w:r w:rsidRPr="00A701F7">
        <w:t xml:space="preserve">The remainder of the paper is as follows. Section 2 explains TPT. Section 3 </w:t>
      </w:r>
      <w:r w:rsidR="006152F9">
        <w:rPr>
          <w:rFonts w:hint="eastAsia"/>
        </w:rPr>
        <w:t xml:space="preserve">presents </w:t>
      </w:r>
      <w:r w:rsidRPr="00A701F7">
        <w:t>the event study</w:t>
      </w:r>
      <w:r w:rsidR="006152F9">
        <w:rPr>
          <w:rFonts w:hint="eastAsia"/>
        </w:rPr>
        <w:t xml:space="preserve"> </w:t>
      </w:r>
      <w:r w:rsidRPr="00A701F7">
        <w:t>and Section 4 construct</w:t>
      </w:r>
      <w:r w:rsidR="006152F9">
        <w:rPr>
          <w:rFonts w:hint="eastAsia"/>
        </w:rPr>
        <w:t>s</w:t>
      </w:r>
      <w:r w:rsidRPr="00A701F7">
        <w:t xml:space="preserve"> the research hypotheses in this study. Section 5 describes the cross-sectional analysis that is the main analysis of this report. Section 6 explains the results of our analysis. Section 7 presents conclusions and suggest</w:t>
      </w:r>
      <w:r w:rsidR="006152F9">
        <w:rPr>
          <w:rFonts w:hint="eastAsia"/>
        </w:rPr>
        <w:t>ions for</w:t>
      </w:r>
      <w:r w:rsidRPr="00A701F7">
        <w:t xml:space="preserve"> future research.</w:t>
      </w:r>
    </w:p>
    <w:p w:rsidR="00A701F7" w:rsidRPr="001E4502" w:rsidRDefault="001E4502" w:rsidP="0026344E">
      <w:pPr>
        <w:pStyle w:val="1"/>
        <w:keepNext w:val="0"/>
        <w:keepLines w:val="0"/>
        <w:widowControl w:val="0"/>
        <w:suppressAutoHyphens/>
        <w:kinsoku w:val="0"/>
        <w:overflowPunct w:val="0"/>
        <w:autoSpaceDE w:val="0"/>
        <w:autoSpaceDN w:val="0"/>
        <w:spacing w:beforeLines="50" w:afterLines="30" w:line="240" w:lineRule="auto"/>
        <w:ind w:left="0" w:firstLine="0"/>
        <w:textAlignment w:val="baseline"/>
        <w:rPr>
          <w:rFonts w:eastAsiaTheme="minorEastAsia"/>
          <w:szCs w:val="21"/>
          <w:lang w:eastAsia="zh-CN"/>
        </w:rPr>
      </w:pPr>
      <w:r>
        <w:rPr>
          <w:szCs w:val="21"/>
        </w:rPr>
        <w:lastRenderedPageBreak/>
        <w:t>TPT</w:t>
      </w:r>
    </w:p>
    <w:p w:rsidR="00A701F7" w:rsidRPr="00A701F7" w:rsidRDefault="00A701F7" w:rsidP="001F0251">
      <w:pPr>
        <w:pStyle w:val="2"/>
        <w:suppressAutoHyphens/>
        <w:kinsoku w:val="0"/>
        <w:overflowPunct w:val="0"/>
        <w:spacing w:before="62"/>
        <w:textAlignment w:val="baseline"/>
        <w:rPr>
          <w:b w:val="0"/>
        </w:rPr>
      </w:pPr>
      <w:r w:rsidRPr="00A701F7">
        <w:t>Overview of TPT in Japan</w:t>
      </w:r>
    </w:p>
    <w:p w:rsidR="00A701F7" w:rsidRPr="00A701F7" w:rsidRDefault="00A701F7" w:rsidP="001F0251">
      <w:pPr>
        <w:spacing w:line="308" w:lineRule="exact"/>
        <w:ind w:firstLine="420"/>
      </w:pPr>
      <w:r w:rsidRPr="00A701F7">
        <w:t xml:space="preserve">The JTA has introduced TPT in order to cope with international tax avoidance since the passing of the tax reform act of 1986 in Japan. In terms of trading with related foreign companies, TPT is taxed according to the price when there is a transaction price </w:t>
      </w:r>
      <w:r w:rsidR="001E4502">
        <w:rPr>
          <w:rFonts w:hint="eastAsia"/>
        </w:rPr>
        <w:t>among</w:t>
      </w:r>
      <w:r w:rsidRPr="00A701F7">
        <w:t xml:space="preserve"> comparable non-related enterprises.</w:t>
      </w:r>
    </w:p>
    <w:p w:rsidR="00A701F7" w:rsidRPr="00A701F7" w:rsidRDefault="00A701F7" w:rsidP="001F0251">
      <w:pPr>
        <w:spacing w:line="308" w:lineRule="exact"/>
        <w:ind w:firstLine="420"/>
        <w:rPr>
          <w:b/>
        </w:rPr>
      </w:pPr>
      <w:r w:rsidRPr="00A701F7">
        <w:t>TP with comparable non-relate</w:t>
      </w:r>
      <w:r w:rsidR="001E4502">
        <w:t>d enterprises is called an “arm’</w:t>
      </w:r>
      <w:r w:rsidRPr="00A701F7">
        <w:t>s length price”.</w:t>
      </w:r>
      <w:r w:rsidR="001E4502">
        <w:rPr>
          <w:rFonts w:hint="eastAsia"/>
        </w:rPr>
        <w:t xml:space="preserve"> </w:t>
      </w:r>
      <w:r w:rsidR="001E4502">
        <w:t>The method of arm’</w:t>
      </w:r>
      <w:r w:rsidRPr="00A701F7">
        <w:t>s length price setting in Japan has been decided according to sales, purchases, and other dealings involving inventory turnover. The setting of TP in Japan is based on three basic methods:</w:t>
      </w:r>
      <w:r w:rsidR="001E4502">
        <w:rPr>
          <w:rFonts w:hint="eastAsia"/>
        </w:rPr>
        <w:t xml:space="preserve"> </w:t>
      </w:r>
      <w:r w:rsidRPr="00A701F7">
        <w:t xml:space="preserve">the comparable uncontrolled price method (method based on the price of the transaction </w:t>
      </w:r>
      <w:r w:rsidR="001E4502">
        <w:rPr>
          <w:rFonts w:hint="eastAsia"/>
        </w:rPr>
        <w:t>among</w:t>
      </w:r>
      <w:r w:rsidRPr="00A701F7">
        <w:t xml:space="preserve"> comparable non-related companies), the resale price method (method of calculating and deducting the amount of usual profit from the resale price </w:t>
      </w:r>
      <w:r w:rsidR="001E4502">
        <w:rPr>
          <w:rFonts w:hint="eastAsia"/>
        </w:rPr>
        <w:t>among</w:t>
      </w:r>
      <w:r w:rsidRPr="00A701F7">
        <w:t xml:space="preserve"> related industries)</w:t>
      </w:r>
      <w:r w:rsidR="001E4502">
        <w:rPr>
          <w:rFonts w:hint="eastAsia"/>
        </w:rPr>
        <w:t>,</w:t>
      </w:r>
      <w:r w:rsidRPr="00A701F7">
        <w:t xml:space="preserve"> and the cost plus method (method of adding the usual profit to the seller</w:t>
      </w:r>
      <w:r w:rsidR="001E4502">
        <w:t>’</w:t>
      </w:r>
      <w:r w:rsidRPr="00A701F7">
        <w:t xml:space="preserve">s cost in dealings </w:t>
      </w:r>
      <w:r w:rsidR="001E4502">
        <w:rPr>
          <w:rFonts w:hint="eastAsia"/>
        </w:rPr>
        <w:t>among</w:t>
      </w:r>
      <w:r w:rsidRPr="00A701F7">
        <w:t xml:space="preserve"> related companies). In addition to the three methods above, JTA establish</w:t>
      </w:r>
      <w:r w:rsidR="001E4502">
        <w:rPr>
          <w:rFonts w:hint="eastAsia"/>
        </w:rPr>
        <w:t>ed</w:t>
      </w:r>
      <w:r w:rsidRPr="00A701F7">
        <w:t xml:space="preserve"> </w:t>
      </w:r>
      <w:r w:rsidR="001E4502">
        <w:rPr>
          <w:rFonts w:hint="eastAsia"/>
        </w:rPr>
        <w:t>the</w:t>
      </w:r>
      <w:r w:rsidRPr="00A701F7">
        <w:t xml:space="preserve"> fourth method (which allows calculation by, for instance, the profit split method or the </w:t>
      </w:r>
      <w:r w:rsidR="00175BCE" w:rsidRPr="00A701F7">
        <w:rPr>
          <w:color w:val="000000"/>
        </w:rPr>
        <w:t>transactional net margin method (TNMM)</w:t>
      </w:r>
      <w:r w:rsidRPr="00A701F7">
        <w:t>).</w:t>
      </w:r>
    </w:p>
    <w:p w:rsidR="00A701F7" w:rsidRPr="00A701F7" w:rsidRDefault="00A701F7" w:rsidP="001F0251">
      <w:pPr>
        <w:pStyle w:val="2"/>
        <w:suppressAutoHyphens/>
        <w:kinsoku w:val="0"/>
        <w:overflowPunct w:val="0"/>
        <w:spacing w:before="62"/>
        <w:textAlignment w:val="baseline"/>
      </w:pPr>
      <w:r w:rsidRPr="00A701F7">
        <w:t>Recent Trends in TPT</w:t>
      </w:r>
    </w:p>
    <w:p w:rsidR="00A701F7" w:rsidRPr="00A701F7" w:rsidRDefault="00A701F7" w:rsidP="001F0251">
      <w:pPr>
        <w:spacing w:line="306" w:lineRule="exact"/>
        <w:ind w:firstLine="420"/>
      </w:pPr>
      <w:r w:rsidRPr="00A701F7">
        <w:t>A quarter century has passed since TPT began to be enforced in Japan and many issues have been pointed out regarding the calculation of TP. These issues are mainly concerned with</w:t>
      </w:r>
      <w:r w:rsidR="001E4502">
        <w:rPr>
          <w:rFonts w:hint="eastAsia"/>
        </w:rPr>
        <w:t xml:space="preserve"> </w:t>
      </w:r>
      <w:r w:rsidRPr="00A701F7">
        <w:t>the incompatibility of the TP calculation method itself and the intangible assets problem. Recently, the business community has become so complicated because of globalization that the objective of the TP has expanded from tangible assets, referred to</w:t>
      </w:r>
      <w:r w:rsidR="0093240A">
        <w:rPr>
          <w:rFonts w:hint="eastAsia"/>
        </w:rPr>
        <w:t xml:space="preserve"> </w:t>
      </w:r>
      <w:r w:rsidRPr="00A701F7">
        <w:t>as products and inventory, to intangibles, including patent rights, trademarks, technology transfers, product development, management know-how, and service rendering. However, the TP calculation of intangibles is complex and d</w:t>
      </w:r>
      <w:r w:rsidR="0093240A">
        <w:rPr>
          <w:rFonts w:hint="eastAsia"/>
        </w:rPr>
        <w:t>oes</w:t>
      </w:r>
      <w:r w:rsidRPr="00A701F7">
        <w:t xml:space="preserve"> not match the three basic TP calculation methods. Because the original characteristic of intangibles is</w:t>
      </w:r>
      <w:r w:rsidR="0093240A">
        <w:rPr>
          <w:rFonts w:hint="eastAsia"/>
        </w:rPr>
        <w:t xml:space="preserve"> that</w:t>
      </w:r>
      <w:r w:rsidRPr="00A701F7">
        <w:t xml:space="preserve"> </w:t>
      </w:r>
      <w:r w:rsidR="0093240A">
        <w:t>“</w:t>
      </w:r>
      <w:r w:rsidRPr="00A701F7">
        <w:t>the difference with others is accepted monopolistically</w:t>
      </w:r>
      <w:r w:rsidR="0093240A">
        <w:t>”</w:t>
      </w:r>
      <w:r w:rsidRPr="00A701F7">
        <w:t xml:space="preserve">, it is natural that it is difficult to compare prices of intangibles </w:t>
      </w:r>
      <w:r w:rsidR="0093240A">
        <w:rPr>
          <w:rFonts w:hint="eastAsia"/>
        </w:rPr>
        <w:t>among</w:t>
      </w:r>
      <w:r w:rsidRPr="00A701F7">
        <w:t xml:space="preserve"> independent companies. Thus,</w:t>
      </w:r>
      <w:r w:rsidR="0093240A">
        <w:rPr>
          <w:rFonts w:hint="eastAsia"/>
        </w:rPr>
        <w:t xml:space="preserve"> </w:t>
      </w:r>
      <w:r w:rsidRPr="00A701F7">
        <w:t>JTA began to use alternative TP calculation methods, referred to collectively as “the fourth method”.</w:t>
      </w:r>
    </w:p>
    <w:p w:rsidR="00A701F7" w:rsidRPr="00A701F7" w:rsidRDefault="00A701F7" w:rsidP="001F0251">
      <w:pPr>
        <w:spacing w:line="306" w:lineRule="exact"/>
        <w:ind w:firstLine="420"/>
        <w:rPr>
          <w:b/>
        </w:rPr>
      </w:pPr>
      <w:r w:rsidRPr="00A701F7">
        <w:t>Furthermore, due to different ideas regarding the calculation of TP, cases of double taxation, additional taxes, and tax suits between companies and JTA increased. JTA</w:t>
      </w:r>
      <w:r w:rsidR="0093240A">
        <w:rPr>
          <w:rFonts w:hint="eastAsia"/>
        </w:rPr>
        <w:t xml:space="preserve"> </w:t>
      </w:r>
      <w:r w:rsidRPr="00A701F7">
        <w:t xml:space="preserve">created the </w:t>
      </w:r>
      <w:r w:rsidR="0093240A">
        <w:t>“</w:t>
      </w:r>
      <w:bookmarkStart w:id="5" w:name="OLE_LINK10"/>
      <w:bookmarkStart w:id="6" w:name="OLE_LINK11"/>
      <w:r w:rsidRPr="00A701F7">
        <w:t>Advance Pricing Agreement</w:t>
      </w:r>
      <w:r w:rsidR="0093240A">
        <w:rPr>
          <w:rFonts w:hint="eastAsia"/>
        </w:rPr>
        <w:t xml:space="preserve"> </w:t>
      </w:r>
      <w:r w:rsidRPr="00A701F7">
        <w:t>(APA)</w:t>
      </w:r>
      <w:bookmarkEnd w:id="5"/>
      <w:bookmarkEnd w:id="6"/>
      <w:r w:rsidRPr="00A701F7">
        <w:rPr>
          <w:rStyle w:val="a7"/>
        </w:rPr>
        <w:footnoteReference w:id="5"/>
      </w:r>
      <w:r w:rsidR="0093240A">
        <w:t>”</w:t>
      </w:r>
      <w:r w:rsidRPr="00A701F7">
        <w:t xml:space="preserve"> and the </w:t>
      </w:r>
      <w:r w:rsidR="0093240A">
        <w:t>“</w:t>
      </w:r>
      <w:r w:rsidRPr="00A701F7">
        <w:t>Mutual Agreement Procedure (MAP)</w:t>
      </w:r>
      <w:r w:rsidRPr="00A701F7">
        <w:rPr>
          <w:rStyle w:val="a7"/>
        </w:rPr>
        <w:footnoteReference w:id="6"/>
      </w:r>
      <w:r w:rsidR="0093240A">
        <w:t>”</w:t>
      </w:r>
      <w:r w:rsidRPr="00A701F7">
        <w:t xml:space="preserve"> regarding TP in order to reduce the risk of double taxation, but this was not sufficient to address the problem. According to </w:t>
      </w:r>
      <w:r w:rsidRPr="00BA34FD">
        <w:t>JTA (2013)</w:t>
      </w:r>
      <w:r w:rsidRPr="00A701F7">
        <w:t>, 167 MAP cases occurred in 2012</w:t>
      </w:r>
      <w:r w:rsidR="00175BCE">
        <w:rPr>
          <w:rFonts w:hint="eastAsia"/>
        </w:rPr>
        <w:t xml:space="preserve"> </w:t>
      </w:r>
      <w:r w:rsidRPr="00A701F7">
        <w:t>(of which 131 cases involved APA). In comparison with 2001,</w:t>
      </w:r>
      <w:r w:rsidR="00175BCE">
        <w:rPr>
          <w:rFonts w:hint="eastAsia"/>
        </w:rPr>
        <w:t xml:space="preserve"> </w:t>
      </w:r>
      <w:r w:rsidRPr="00A701F7">
        <w:t>this is a 1.8-fold increase in MAP and an appro</w:t>
      </w:r>
      <w:r w:rsidR="00175BCE">
        <w:t>ximately 2.8-fold increase in M</w:t>
      </w:r>
      <w:r w:rsidRPr="00A701F7">
        <w:t>A</w:t>
      </w:r>
      <w:r w:rsidR="00175BCE">
        <w:rPr>
          <w:rFonts w:hint="eastAsia"/>
        </w:rPr>
        <w:t>P</w:t>
      </w:r>
      <w:r w:rsidRPr="00A701F7">
        <w:t xml:space="preserve"> related to APA over the 10 years. </w:t>
      </w:r>
    </w:p>
    <w:p w:rsidR="00A701F7" w:rsidRDefault="00A701F7" w:rsidP="001F0251">
      <w:pPr>
        <w:spacing w:line="306" w:lineRule="exact"/>
        <w:ind w:firstLine="420"/>
      </w:pPr>
      <w:r w:rsidRPr="00A701F7">
        <w:t>MAP cases (</w:t>
      </w:r>
      <w:r w:rsidR="00175BCE">
        <w:rPr>
          <w:rFonts w:hint="eastAsia"/>
        </w:rPr>
        <w:t xml:space="preserve">see </w:t>
      </w:r>
      <w:r w:rsidRPr="00A701F7">
        <w:t>Figure</w:t>
      </w:r>
      <w:r w:rsidR="00175BCE">
        <w:rPr>
          <w:rFonts w:hint="eastAsia"/>
        </w:rPr>
        <w:t xml:space="preserve"> </w:t>
      </w:r>
      <w:r w:rsidRPr="00A701F7">
        <w:t>1) break down into inventory trading cases (108), service rendering cases (66), and intangibles trading cases (66).</w:t>
      </w:r>
    </w:p>
    <w:p w:rsidR="00D776D4" w:rsidRDefault="00D776D4" w:rsidP="001F0251">
      <w:pPr>
        <w:spacing w:line="306" w:lineRule="exact"/>
        <w:ind w:firstLine="420"/>
        <w:rPr>
          <w:color w:val="000000"/>
        </w:rPr>
      </w:pPr>
      <w:r w:rsidRPr="00A701F7">
        <w:rPr>
          <w:color w:val="000000"/>
        </w:rPr>
        <w:t xml:space="preserve">The </w:t>
      </w:r>
      <w:r w:rsidR="00175BCE">
        <w:rPr>
          <w:color w:val="000000"/>
        </w:rPr>
        <w:t>TNMM</w:t>
      </w:r>
      <w:r w:rsidRPr="00A701F7">
        <w:rPr>
          <w:color w:val="000000"/>
        </w:rPr>
        <w:t xml:space="preserve"> prescribed as an </w:t>
      </w:r>
      <w:r w:rsidR="00175BCE">
        <w:rPr>
          <w:color w:val="000000"/>
        </w:rPr>
        <w:t>“</w:t>
      </w:r>
      <w:r w:rsidRPr="00A701F7">
        <w:rPr>
          <w:color w:val="000000"/>
        </w:rPr>
        <w:t>alternate method</w:t>
      </w:r>
      <w:r w:rsidR="00175BCE">
        <w:rPr>
          <w:color w:val="000000"/>
        </w:rPr>
        <w:t>”</w:t>
      </w:r>
      <w:r w:rsidRPr="00A701F7">
        <w:rPr>
          <w:color w:val="000000"/>
        </w:rPr>
        <w:t xml:space="preserve"> introduced by the </w:t>
      </w:r>
      <w:r w:rsidRPr="00A701F7">
        <w:t>tax reform of 2004</w:t>
      </w:r>
      <w:r w:rsidR="00175BCE">
        <w:rPr>
          <w:rFonts w:hint="eastAsia"/>
        </w:rPr>
        <w:t xml:space="preserve"> </w:t>
      </w:r>
      <w:r w:rsidRPr="00A701F7">
        <w:rPr>
          <w:color w:val="000000"/>
        </w:rPr>
        <w:t>became the main method of TP calculation in cases</w:t>
      </w:r>
      <w:r w:rsidR="00175BCE">
        <w:rPr>
          <w:rFonts w:hint="eastAsia"/>
          <w:color w:val="000000"/>
        </w:rPr>
        <w:t xml:space="preserve"> </w:t>
      </w:r>
      <w:r w:rsidRPr="00A701F7">
        <w:rPr>
          <w:color w:val="000000"/>
        </w:rPr>
        <w:t>involving the</w:t>
      </w:r>
      <w:r w:rsidR="00175BCE">
        <w:rPr>
          <w:rFonts w:hint="eastAsia"/>
          <w:color w:val="000000"/>
        </w:rPr>
        <w:t xml:space="preserve"> </w:t>
      </w:r>
      <w:r w:rsidRPr="00A701F7">
        <w:t>MAP</w:t>
      </w:r>
      <w:r w:rsidRPr="00A701F7">
        <w:rPr>
          <w:color w:val="000000"/>
        </w:rPr>
        <w:t xml:space="preserve"> (</w:t>
      </w:r>
      <w:r w:rsidR="00175BCE">
        <w:rPr>
          <w:rFonts w:hint="eastAsia"/>
          <w:color w:val="000000"/>
        </w:rPr>
        <w:t xml:space="preserve">see </w:t>
      </w:r>
      <w:r w:rsidRPr="00A701F7">
        <w:rPr>
          <w:color w:val="000000"/>
        </w:rPr>
        <w:t>Figure</w:t>
      </w:r>
      <w:r w:rsidR="00175BCE">
        <w:rPr>
          <w:rFonts w:hint="eastAsia"/>
          <w:color w:val="000000"/>
        </w:rPr>
        <w:t xml:space="preserve"> </w:t>
      </w:r>
      <w:r w:rsidRPr="00A701F7">
        <w:rPr>
          <w:color w:val="000000"/>
        </w:rPr>
        <w:t xml:space="preserve">2). In other words, it became clear that the TP calculation methods referred to as </w:t>
      </w:r>
      <w:r w:rsidRPr="00A701F7">
        <w:t xml:space="preserve">the three basic methods could not cope with TP calculation </w:t>
      </w:r>
      <w:r w:rsidRPr="00A701F7">
        <w:rPr>
          <w:color w:val="000000"/>
        </w:rPr>
        <w:t xml:space="preserve">of </w:t>
      </w:r>
      <w:r w:rsidRPr="00A701F7">
        <w:t>service rendering</w:t>
      </w:r>
      <w:r w:rsidRPr="00A701F7">
        <w:rPr>
          <w:color w:val="000000"/>
        </w:rPr>
        <w:t xml:space="preserve"> and intangibles trades. Therefore, intangibles have</w:t>
      </w:r>
      <w:r w:rsidR="00175BCE">
        <w:rPr>
          <w:rFonts w:hint="eastAsia"/>
          <w:color w:val="000000"/>
        </w:rPr>
        <w:t xml:space="preserve"> </w:t>
      </w:r>
      <w:r w:rsidRPr="00A701F7">
        <w:rPr>
          <w:color w:val="000000"/>
        </w:rPr>
        <w:t>had a large influence on TPT practice</w:t>
      </w:r>
      <w:r w:rsidR="00175BCE">
        <w:rPr>
          <w:rFonts w:hint="eastAsia"/>
          <w:color w:val="000000"/>
        </w:rPr>
        <w:t>s</w:t>
      </w:r>
      <w:r w:rsidR="002A56DC">
        <w:rPr>
          <w:rFonts w:hint="eastAsia"/>
          <w:color w:val="000000"/>
        </w:rPr>
        <w:t>.</w:t>
      </w:r>
      <w:r w:rsidRPr="00A701F7">
        <w:rPr>
          <w:rStyle w:val="a7"/>
          <w:color w:val="000000"/>
        </w:rPr>
        <w:footnoteReference w:id="7"/>
      </w:r>
    </w:p>
    <w:p w:rsidR="00A701F7" w:rsidRPr="00A701F7" w:rsidRDefault="006622E8" w:rsidP="0085431A">
      <w:pPr>
        <w:ind w:firstLineChars="0" w:firstLine="0"/>
        <w:jc w:val="center"/>
      </w:pPr>
      <w:r w:rsidRPr="006622E8">
        <w:rPr>
          <w:noProof/>
        </w:rPr>
        <w:lastRenderedPageBreak/>
        <w:drawing>
          <wp:inline distT="0" distB="0" distL="0" distR="0">
            <wp:extent cx="5328285" cy="2505075"/>
            <wp:effectExtent l="19050" t="0" r="24765"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701F7" w:rsidRPr="000F46FF" w:rsidRDefault="00A701F7" w:rsidP="0085431A">
      <w:pPr>
        <w:pStyle w:val="2011Fig-1"/>
        <w:snapToGrid w:val="0"/>
        <w:spacing w:line="288" w:lineRule="auto"/>
        <w:rPr>
          <w:rFonts w:eastAsiaTheme="minorEastAsia"/>
          <w:b/>
          <w:lang w:eastAsia="zh-CN"/>
        </w:rPr>
      </w:pPr>
      <w:r w:rsidRPr="00A701F7">
        <w:rPr>
          <w:i/>
        </w:rPr>
        <w:t>Figure</w:t>
      </w:r>
      <w:r w:rsidRPr="00A701F7">
        <w:rPr>
          <w:rFonts w:eastAsiaTheme="minorEastAsia" w:hint="eastAsia"/>
          <w:i/>
          <w:lang w:eastAsia="zh-CN"/>
        </w:rPr>
        <w:t xml:space="preserve"> </w:t>
      </w:r>
      <w:r w:rsidRPr="00A701F7">
        <w:rPr>
          <w:i/>
        </w:rPr>
        <w:t>1</w:t>
      </w:r>
      <w:r w:rsidRPr="00A701F7">
        <w:rPr>
          <w:rFonts w:eastAsiaTheme="minorEastAsia" w:hint="eastAsia"/>
          <w:lang w:eastAsia="zh-CN"/>
        </w:rPr>
        <w:t>.</w:t>
      </w:r>
      <w:r w:rsidRPr="00A701F7">
        <w:t xml:space="preserve"> Breakdown according to</w:t>
      </w:r>
      <w:r>
        <w:rPr>
          <w:rFonts w:eastAsiaTheme="minorEastAsia" w:hint="eastAsia"/>
          <w:lang w:eastAsia="zh-CN"/>
        </w:rPr>
        <w:t xml:space="preserve"> </w:t>
      </w:r>
      <w:r w:rsidRPr="00A701F7">
        <w:t>TP trade under</w:t>
      </w:r>
      <w:r>
        <w:rPr>
          <w:rFonts w:eastAsiaTheme="minorEastAsia" w:hint="eastAsia"/>
          <w:lang w:eastAsia="zh-CN"/>
        </w:rPr>
        <w:t xml:space="preserve"> </w:t>
      </w:r>
      <w:r w:rsidR="0086511F">
        <w:rPr>
          <w:rFonts w:eastAsiaTheme="minorEastAsia" w:hint="eastAsia"/>
          <w:lang w:eastAsia="zh-CN"/>
        </w:rPr>
        <w:t>MAP</w:t>
      </w:r>
      <w:r w:rsidRPr="00A701F7">
        <w:rPr>
          <w:rFonts w:eastAsiaTheme="minorEastAsia" w:hint="eastAsia"/>
          <w:lang w:eastAsia="zh-CN"/>
        </w:rPr>
        <w:t>.</w:t>
      </w:r>
      <w:r w:rsidR="001F0251">
        <w:rPr>
          <w:rFonts w:eastAsiaTheme="minorEastAsia" w:hint="eastAsia"/>
          <w:b/>
          <w:lang w:eastAsia="zh-CN"/>
        </w:rPr>
        <w:t xml:space="preserve"> </w:t>
      </w:r>
      <w:r w:rsidRPr="000F46FF">
        <w:t xml:space="preserve">Source: </w:t>
      </w:r>
      <w:r w:rsidR="006622E8">
        <w:rPr>
          <w:rFonts w:eastAsiaTheme="minorEastAsia" w:hint="eastAsia"/>
          <w:lang w:eastAsia="zh-CN"/>
        </w:rPr>
        <w:t>JTA</w:t>
      </w:r>
      <w:r w:rsidR="006622E8">
        <w:t xml:space="preserve"> (</w:t>
      </w:r>
      <w:r w:rsidRPr="000F46FF">
        <w:t>2013)</w:t>
      </w:r>
      <w:r w:rsidR="009577C9" w:rsidRPr="000F46FF">
        <w:rPr>
          <w:rFonts w:eastAsiaTheme="minorEastAsia" w:hint="eastAsia"/>
          <w:lang w:eastAsia="zh-CN"/>
        </w:rPr>
        <w:t>.</w:t>
      </w:r>
    </w:p>
    <w:p w:rsidR="00A701F7" w:rsidRPr="00A701F7" w:rsidRDefault="00A701F7" w:rsidP="001F0251">
      <w:pPr>
        <w:adjustRightInd w:val="0"/>
        <w:snapToGrid w:val="0"/>
        <w:ind w:firstLineChars="0" w:firstLine="0"/>
        <w:jc w:val="left"/>
        <w:rPr>
          <w:sz w:val="12"/>
        </w:rPr>
      </w:pPr>
    </w:p>
    <w:p w:rsidR="00A701F7" w:rsidRPr="00A701F7" w:rsidRDefault="006622E8" w:rsidP="0085431A">
      <w:pPr>
        <w:ind w:firstLineChars="0" w:firstLine="0"/>
        <w:jc w:val="center"/>
      </w:pPr>
      <w:r w:rsidRPr="006622E8">
        <w:rPr>
          <w:noProof/>
        </w:rPr>
        <w:drawing>
          <wp:inline distT="0" distB="0" distL="0" distR="0">
            <wp:extent cx="5327015" cy="2524125"/>
            <wp:effectExtent l="19050" t="0" r="26035"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622E8" w:rsidRPr="000F46FF" w:rsidRDefault="00A701F7" w:rsidP="0085431A">
      <w:pPr>
        <w:pStyle w:val="2011Fig-1"/>
        <w:snapToGrid w:val="0"/>
        <w:spacing w:line="288" w:lineRule="auto"/>
        <w:rPr>
          <w:rFonts w:eastAsiaTheme="minorEastAsia"/>
          <w:b/>
          <w:lang w:eastAsia="zh-CN"/>
        </w:rPr>
      </w:pPr>
      <w:r w:rsidRPr="00A701F7">
        <w:rPr>
          <w:i/>
        </w:rPr>
        <w:t>Figure</w:t>
      </w:r>
      <w:r w:rsidRPr="00A701F7">
        <w:rPr>
          <w:rFonts w:hint="eastAsia"/>
          <w:i/>
        </w:rPr>
        <w:t xml:space="preserve"> </w:t>
      </w:r>
      <w:r w:rsidRPr="00A701F7">
        <w:rPr>
          <w:i/>
        </w:rPr>
        <w:t>2</w:t>
      </w:r>
      <w:r w:rsidRPr="00A701F7">
        <w:rPr>
          <w:rFonts w:hint="eastAsia"/>
          <w:i/>
        </w:rPr>
        <w:t xml:space="preserve">. </w:t>
      </w:r>
      <w:r w:rsidRPr="00A701F7">
        <w:t>Breakdown according to the type of TP calculation method under</w:t>
      </w:r>
      <w:r w:rsidRPr="00A701F7">
        <w:rPr>
          <w:rFonts w:eastAsiaTheme="minorEastAsia" w:hint="eastAsia"/>
          <w:lang w:eastAsia="zh-CN"/>
        </w:rPr>
        <w:t xml:space="preserve"> </w:t>
      </w:r>
      <w:r w:rsidR="009577C9">
        <w:rPr>
          <w:rFonts w:eastAsiaTheme="minorEastAsia" w:hint="eastAsia"/>
          <w:lang w:eastAsia="zh-CN"/>
        </w:rPr>
        <w:t>MAP</w:t>
      </w:r>
      <w:r w:rsidRPr="00A701F7">
        <w:rPr>
          <w:rFonts w:eastAsiaTheme="minorEastAsia" w:hint="eastAsia"/>
          <w:lang w:eastAsia="zh-CN"/>
        </w:rPr>
        <w:t>.</w:t>
      </w:r>
      <w:r w:rsidR="001F0251">
        <w:rPr>
          <w:rFonts w:eastAsiaTheme="minorEastAsia" w:hint="eastAsia"/>
          <w:b/>
          <w:lang w:eastAsia="zh-CN"/>
        </w:rPr>
        <w:t xml:space="preserve"> </w:t>
      </w:r>
      <w:r w:rsidR="006622E8" w:rsidRPr="000F46FF">
        <w:t xml:space="preserve">Source: </w:t>
      </w:r>
      <w:r w:rsidR="006622E8">
        <w:rPr>
          <w:rFonts w:eastAsiaTheme="minorEastAsia" w:hint="eastAsia"/>
          <w:lang w:eastAsia="zh-CN"/>
        </w:rPr>
        <w:t>JTA</w:t>
      </w:r>
      <w:r w:rsidR="006622E8">
        <w:t xml:space="preserve"> (</w:t>
      </w:r>
      <w:r w:rsidR="006622E8" w:rsidRPr="000F46FF">
        <w:t>2013)</w:t>
      </w:r>
      <w:r w:rsidR="006622E8" w:rsidRPr="000F46FF">
        <w:rPr>
          <w:rFonts w:eastAsiaTheme="minorEastAsia" w:hint="eastAsia"/>
          <w:lang w:eastAsia="zh-CN"/>
        </w:rPr>
        <w:t>.</w:t>
      </w:r>
    </w:p>
    <w:p w:rsidR="00A701F7" w:rsidRPr="00A701F7" w:rsidRDefault="00A701F7" w:rsidP="001F0251">
      <w:pPr>
        <w:pStyle w:val="2"/>
        <w:suppressAutoHyphens/>
        <w:kinsoku w:val="0"/>
        <w:overflowPunct w:val="0"/>
        <w:spacing w:before="62"/>
        <w:textAlignment w:val="baseline"/>
        <w:rPr>
          <w:b w:val="0"/>
        </w:rPr>
      </w:pPr>
      <w:r w:rsidRPr="00A701F7">
        <w:t>Prior Studies</w:t>
      </w:r>
    </w:p>
    <w:p w:rsidR="00A701F7" w:rsidRPr="00A701F7" w:rsidRDefault="00A701F7" w:rsidP="001F0251">
      <w:pPr>
        <w:ind w:firstLine="420"/>
      </w:pPr>
      <w:r w:rsidRPr="00A701F7">
        <w:t>There are consider</w:t>
      </w:r>
      <w:r w:rsidR="00B3657D">
        <w:t>able literatures that use event</w:t>
      </w:r>
      <w:r w:rsidR="00B3657D">
        <w:rPr>
          <w:rFonts w:hint="eastAsia"/>
        </w:rPr>
        <w:t xml:space="preserve"> </w:t>
      </w:r>
      <w:r w:rsidRPr="00A701F7">
        <w:t>study methodology to examine the effects on stock market value of information revealed about corporate misdeeds other than tax noncompliance.</w:t>
      </w:r>
    </w:p>
    <w:p w:rsidR="00A701F7" w:rsidRPr="00A701F7" w:rsidRDefault="00A701F7" w:rsidP="001F0251">
      <w:pPr>
        <w:ind w:firstLine="420"/>
      </w:pPr>
      <w:r w:rsidRPr="00A701F7">
        <w:t>Campbell</w:t>
      </w:r>
      <w:r w:rsidR="00B3657D">
        <w:rPr>
          <w:rFonts w:hint="eastAsia"/>
        </w:rPr>
        <w:t>,</w:t>
      </w:r>
      <w:r w:rsidRPr="00A701F7">
        <w:t xml:space="preserve"> </w:t>
      </w:r>
      <w:r w:rsidR="00B3657D" w:rsidRPr="00B3657D">
        <w:t xml:space="preserve">Gordon, Loeb, </w:t>
      </w:r>
      <w:r w:rsidR="00B3657D">
        <w:rPr>
          <w:rFonts w:hint="eastAsia"/>
        </w:rPr>
        <w:t>and</w:t>
      </w:r>
      <w:r w:rsidR="00B3657D">
        <w:t xml:space="preserve"> Zhou</w:t>
      </w:r>
      <w:r w:rsidRPr="00A701F7">
        <w:t xml:space="preserve"> (2003)</w:t>
      </w:r>
      <w:r w:rsidR="00B3657D">
        <w:rPr>
          <w:rFonts w:hint="eastAsia"/>
        </w:rPr>
        <w:t xml:space="preserve"> </w:t>
      </w:r>
      <w:r w:rsidRPr="00A701F7">
        <w:t>examine</w:t>
      </w:r>
      <w:r w:rsidR="00B3657D">
        <w:rPr>
          <w:rFonts w:hint="eastAsia"/>
        </w:rPr>
        <w:t>d</w:t>
      </w:r>
      <w:r w:rsidRPr="00A701F7">
        <w:t xml:space="preserve"> the economic effect of information security breaches reported in newspapers on</w:t>
      </w:r>
      <w:r w:rsidR="00B3657D">
        <w:rPr>
          <w:rFonts w:hint="eastAsia"/>
        </w:rPr>
        <w:t xml:space="preserve"> </w:t>
      </w:r>
      <w:r w:rsidRPr="00A701F7">
        <w:t xml:space="preserve">publicly traded US corporations. They </w:t>
      </w:r>
      <w:r w:rsidR="00B3657D">
        <w:rPr>
          <w:rFonts w:hint="eastAsia"/>
        </w:rPr>
        <w:t>found</w:t>
      </w:r>
      <w:r w:rsidRPr="00A701F7">
        <w:t xml:space="preserve"> limited evidence of an overall negative stock market reaction</w:t>
      </w:r>
      <w:r w:rsidR="00B3657D">
        <w:rPr>
          <w:rFonts w:hint="eastAsia"/>
        </w:rPr>
        <w:t xml:space="preserve"> </w:t>
      </w:r>
      <w:r w:rsidRPr="00A701F7">
        <w:t>to public announcements of information security breaches. However, further investigation reveals that the</w:t>
      </w:r>
      <w:r w:rsidR="00B3657D">
        <w:rPr>
          <w:rFonts w:hint="eastAsia"/>
        </w:rPr>
        <w:t xml:space="preserve"> </w:t>
      </w:r>
      <w:r w:rsidRPr="00A701F7">
        <w:t xml:space="preserve">nature of the breach affects this result. They </w:t>
      </w:r>
      <w:r w:rsidR="00B3657D">
        <w:rPr>
          <w:rFonts w:hint="eastAsia"/>
        </w:rPr>
        <w:t>found</w:t>
      </w:r>
      <w:r w:rsidRPr="00A701F7">
        <w:t xml:space="preserve"> a significantly negative market reaction for information</w:t>
      </w:r>
      <w:r w:rsidR="00B3657D">
        <w:rPr>
          <w:rFonts w:hint="eastAsia"/>
        </w:rPr>
        <w:t xml:space="preserve"> </w:t>
      </w:r>
      <w:r w:rsidRPr="00A701F7">
        <w:t>security breaches involving unauthorized access to confidential data, but no significant reaction when</w:t>
      </w:r>
      <w:r w:rsidR="00B3657D">
        <w:rPr>
          <w:rFonts w:hint="eastAsia"/>
        </w:rPr>
        <w:t xml:space="preserve"> </w:t>
      </w:r>
      <w:r w:rsidRPr="00A701F7">
        <w:t>the breach does not involve confidential information. Thus, stock market participants appear to discriminate</w:t>
      </w:r>
      <w:r w:rsidR="00B3657D">
        <w:rPr>
          <w:rFonts w:hint="eastAsia"/>
        </w:rPr>
        <w:t xml:space="preserve"> </w:t>
      </w:r>
      <w:r w:rsidRPr="00A701F7">
        <w:t>across types of breaches when assessing their economic impact on affected firms. These findings</w:t>
      </w:r>
      <w:r w:rsidR="00B3657D">
        <w:rPr>
          <w:rFonts w:hint="eastAsia"/>
        </w:rPr>
        <w:t xml:space="preserve"> </w:t>
      </w:r>
      <w:r w:rsidRPr="00A701F7">
        <w:t>are consistent with the argument that the economic consequences of information security breaches vary</w:t>
      </w:r>
      <w:r w:rsidR="00B3657D">
        <w:rPr>
          <w:rFonts w:hint="eastAsia"/>
        </w:rPr>
        <w:t xml:space="preserve"> </w:t>
      </w:r>
      <w:r w:rsidRPr="00A701F7">
        <w:t>with respect to the nature of the underlying assets affected by the breach.</w:t>
      </w:r>
    </w:p>
    <w:p w:rsidR="00A701F7" w:rsidRPr="00234B93" w:rsidRDefault="00A701F7" w:rsidP="001F0251">
      <w:pPr>
        <w:ind w:firstLine="424"/>
        <w:rPr>
          <w:spacing w:val="1"/>
        </w:rPr>
      </w:pPr>
      <w:r w:rsidRPr="00234B93">
        <w:rPr>
          <w:spacing w:val="1"/>
        </w:rPr>
        <w:lastRenderedPageBreak/>
        <w:t>Croyd</w:t>
      </w:r>
      <w:r w:rsidR="00B3657D" w:rsidRPr="00234B93">
        <w:rPr>
          <w:rFonts w:hint="eastAsia"/>
          <w:spacing w:val="1"/>
        </w:rPr>
        <w:t>,</w:t>
      </w:r>
      <w:r w:rsidRPr="00234B93">
        <w:rPr>
          <w:spacing w:val="1"/>
        </w:rPr>
        <w:t xml:space="preserve"> </w:t>
      </w:r>
      <w:r w:rsidR="00B3657D" w:rsidRPr="00234B93">
        <w:rPr>
          <w:spacing w:val="1"/>
        </w:rPr>
        <w:t xml:space="preserve">Mills, </w:t>
      </w:r>
      <w:r w:rsidR="00B3657D" w:rsidRPr="00234B93">
        <w:rPr>
          <w:rFonts w:hint="eastAsia"/>
          <w:spacing w:val="1"/>
        </w:rPr>
        <w:t>and</w:t>
      </w:r>
      <w:r w:rsidR="00B3657D" w:rsidRPr="00234B93">
        <w:rPr>
          <w:spacing w:val="1"/>
        </w:rPr>
        <w:t xml:space="preserve"> Weaver</w:t>
      </w:r>
      <w:r w:rsidRPr="00234B93">
        <w:rPr>
          <w:spacing w:val="1"/>
        </w:rPr>
        <w:t xml:space="preserve"> (2003) analyze</w:t>
      </w:r>
      <w:r w:rsidR="00B3657D" w:rsidRPr="00234B93">
        <w:rPr>
          <w:rFonts w:hint="eastAsia"/>
          <w:spacing w:val="1"/>
        </w:rPr>
        <w:t>d</w:t>
      </w:r>
      <w:r w:rsidRPr="00234B93">
        <w:rPr>
          <w:spacing w:val="1"/>
        </w:rPr>
        <w:t xml:space="preserve"> the statistical significance</w:t>
      </w:r>
      <w:r w:rsidR="00B3657D" w:rsidRPr="00234B93">
        <w:rPr>
          <w:rFonts w:hint="eastAsia"/>
          <w:spacing w:val="1"/>
        </w:rPr>
        <w:t xml:space="preserve"> </w:t>
      </w:r>
      <w:r w:rsidRPr="00234B93">
        <w:rPr>
          <w:spacing w:val="1"/>
        </w:rPr>
        <w:t xml:space="preserve">of each corporate inverting firm’s </w:t>
      </w:r>
      <w:r w:rsidR="00B3657D" w:rsidRPr="00234B93">
        <w:rPr>
          <w:rFonts w:hint="eastAsia"/>
          <w:spacing w:val="1"/>
        </w:rPr>
        <w:t>AR</w:t>
      </w:r>
      <w:r w:rsidRPr="00234B93">
        <w:rPr>
          <w:spacing w:val="1"/>
        </w:rPr>
        <w:t>s around the date that it initially announced</w:t>
      </w:r>
      <w:r w:rsidR="00B3657D" w:rsidRPr="00234B93">
        <w:rPr>
          <w:rFonts w:hint="eastAsia"/>
          <w:spacing w:val="1"/>
        </w:rPr>
        <w:t xml:space="preserve"> </w:t>
      </w:r>
      <w:r w:rsidRPr="00234B93">
        <w:rPr>
          <w:spacing w:val="1"/>
        </w:rPr>
        <w:t>its intentions and board of director approval of an inversion transaction.</w:t>
      </w:r>
      <w:r w:rsidR="00B3657D" w:rsidRPr="00234B93">
        <w:rPr>
          <w:rFonts w:hint="eastAsia"/>
          <w:spacing w:val="1"/>
        </w:rPr>
        <w:t xml:space="preserve"> </w:t>
      </w:r>
      <w:r w:rsidRPr="00234B93">
        <w:rPr>
          <w:spacing w:val="1"/>
        </w:rPr>
        <w:t>In this research</w:t>
      </w:r>
      <w:r w:rsidR="00B3657D" w:rsidRPr="00234B93">
        <w:rPr>
          <w:rFonts w:hint="eastAsia"/>
          <w:spacing w:val="1"/>
        </w:rPr>
        <w:t>,</w:t>
      </w:r>
      <w:r w:rsidRPr="00234B93">
        <w:rPr>
          <w:spacing w:val="1"/>
        </w:rPr>
        <w:t xml:space="preserve"> they mainly focus</w:t>
      </w:r>
      <w:r w:rsidR="00B3657D" w:rsidRPr="00234B93">
        <w:rPr>
          <w:rFonts w:hint="eastAsia"/>
          <w:spacing w:val="1"/>
        </w:rPr>
        <w:t>ed</w:t>
      </w:r>
      <w:r w:rsidR="00B3657D" w:rsidRPr="00234B93">
        <w:rPr>
          <w:spacing w:val="1"/>
        </w:rPr>
        <w:t xml:space="preserve"> on US</w:t>
      </w:r>
      <w:r w:rsidRPr="00234B93">
        <w:rPr>
          <w:spacing w:val="1"/>
        </w:rPr>
        <w:t xml:space="preserve"> corporations that reorganize in tax-haven countries </w:t>
      </w:r>
      <w:r w:rsidR="00B3657D" w:rsidRPr="00234B93">
        <w:rPr>
          <w:rFonts w:hint="eastAsia"/>
          <w:spacing w:val="1"/>
        </w:rPr>
        <w:t xml:space="preserve">and </w:t>
      </w:r>
      <w:r w:rsidRPr="00234B93">
        <w:rPr>
          <w:spacing w:val="1"/>
        </w:rPr>
        <w:t>claim to save</w:t>
      </w:r>
      <w:r w:rsidR="00B3657D" w:rsidRPr="00234B93">
        <w:rPr>
          <w:rFonts w:hint="eastAsia"/>
          <w:spacing w:val="1"/>
        </w:rPr>
        <w:t xml:space="preserve"> </w:t>
      </w:r>
      <w:r w:rsidRPr="00234B93">
        <w:rPr>
          <w:spacing w:val="1"/>
        </w:rPr>
        <w:t xml:space="preserve">many </w:t>
      </w:r>
      <w:r w:rsidR="00B3657D" w:rsidRPr="00234B93">
        <w:rPr>
          <w:spacing w:val="1"/>
        </w:rPr>
        <w:t>millions of dollars in future US</w:t>
      </w:r>
      <w:r w:rsidRPr="00234B93">
        <w:rPr>
          <w:spacing w:val="1"/>
        </w:rPr>
        <w:t xml:space="preserve"> corporate income taxes. However, because these</w:t>
      </w:r>
      <w:r w:rsidR="00B3657D" w:rsidRPr="00234B93">
        <w:rPr>
          <w:rFonts w:hint="eastAsia"/>
          <w:spacing w:val="1"/>
        </w:rPr>
        <w:t xml:space="preserve"> </w:t>
      </w:r>
      <w:r w:rsidRPr="00234B93">
        <w:rPr>
          <w:spacing w:val="1"/>
        </w:rPr>
        <w:t>“inversion’’ transactions may involve significant nontax costs, it is not obvious how</w:t>
      </w:r>
      <w:r w:rsidR="00B3657D" w:rsidRPr="00234B93">
        <w:rPr>
          <w:rFonts w:hint="eastAsia"/>
          <w:spacing w:val="1"/>
        </w:rPr>
        <w:t xml:space="preserve"> </w:t>
      </w:r>
      <w:r w:rsidRPr="00234B93">
        <w:rPr>
          <w:spacing w:val="1"/>
        </w:rPr>
        <w:t xml:space="preserve">they affect share value. They </w:t>
      </w:r>
      <w:r w:rsidR="00B3657D" w:rsidRPr="00234B93">
        <w:rPr>
          <w:rFonts w:hint="eastAsia"/>
          <w:spacing w:val="1"/>
        </w:rPr>
        <w:t>found</w:t>
      </w:r>
      <w:r w:rsidRPr="00234B93">
        <w:rPr>
          <w:spacing w:val="1"/>
        </w:rPr>
        <w:t xml:space="preserve"> that five of the 20 single-company expatriations in their analysis have significant</w:t>
      </w:r>
      <w:r w:rsidR="00B3657D" w:rsidRPr="00234B93">
        <w:rPr>
          <w:rFonts w:hint="eastAsia"/>
          <w:spacing w:val="1"/>
        </w:rPr>
        <w:t xml:space="preserve"> </w:t>
      </w:r>
      <w:r w:rsidRPr="00234B93">
        <w:rPr>
          <w:spacing w:val="1"/>
        </w:rPr>
        <w:t>negative announcement period returns and only two show significant positive returns.</w:t>
      </w:r>
      <w:r w:rsidR="00B3657D" w:rsidRPr="00234B93">
        <w:rPr>
          <w:rFonts w:hint="eastAsia"/>
          <w:spacing w:val="1"/>
        </w:rPr>
        <w:t xml:space="preserve"> </w:t>
      </w:r>
      <w:r w:rsidRPr="00234B93">
        <w:rPr>
          <w:spacing w:val="1"/>
        </w:rPr>
        <w:t>The remaining 13 inversions show no statistically significant market reaction in the</w:t>
      </w:r>
      <w:r w:rsidR="00B3657D" w:rsidRPr="00234B93">
        <w:rPr>
          <w:rFonts w:hint="eastAsia"/>
          <w:spacing w:val="1"/>
        </w:rPr>
        <w:t xml:space="preserve"> </w:t>
      </w:r>
      <w:r w:rsidRPr="00234B93">
        <w:rPr>
          <w:spacing w:val="1"/>
        </w:rPr>
        <w:t>announcement period. The average return in the announcement period across all 20</w:t>
      </w:r>
      <w:r w:rsidR="00B3657D" w:rsidRPr="00234B93">
        <w:rPr>
          <w:rFonts w:hint="eastAsia"/>
          <w:spacing w:val="1"/>
        </w:rPr>
        <w:t xml:space="preserve"> </w:t>
      </w:r>
      <w:r w:rsidRPr="00234B93">
        <w:rPr>
          <w:spacing w:val="1"/>
        </w:rPr>
        <w:t>firms is negative, but not significantly different from zero. Overall, this article does not detect</w:t>
      </w:r>
      <w:r w:rsidR="00B3657D" w:rsidRPr="00234B93">
        <w:rPr>
          <w:rFonts w:hint="eastAsia"/>
          <w:spacing w:val="1"/>
        </w:rPr>
        <w:t xml:space="preserve"> </w:t>
      </w:r>
      <w:r w:rsidRPr="00234B93">
        <w:rPr>
          <w:spacing w:val="1"/>
        </w:rPr>
        <w:t>obvious shareholder benefits from expatriations.</w:t>
      </w:r>
    </w:p>
    <w:p w:rsidR="00A701F7" w:rsidRPr="00A701F7" w:rsidRDefault="00A701F7" w:rsidP="001F0251">
      <w:pPr>
        <w:ind w:firstLine="420"/>
      </w:pPr>
      <w:r w:rsidRPr="00A701F7">
        <w:t>Cavusoglu</w:t>
      </w:r>
      <w:r w:rsidR="00B3657D">
        <w:rPr>
          <w:rFonts w:hint="eastAsia"/>
        </w:rPr>
        <w:t>,</w:t>
      </w:r>
      <w:r w:rsidRPr="00A701F7">
        <w:t xml:space="preserve"> </w:t>
      </w:r>
      <w:r w:rsidR="00B3657D" w:rsidRPr="00B3657D">
        <w:t xml:space="preserve">Mishra, </w:t>
      </w:r>
      <w:r w:rsidR="00B3657D">
        <w:rPr>
          <w:rFonts w:hint="eastAsia"/>
        </w:rPr>
        <w:t xml:space="preserve">and </w:t>
      </w:r>
      <w:r w:rsidR="00B3657D" w:rsidRPr="00B3657D">
        <w:t>Raghunathan</w:t>
      </w:r>
      <w:r w:rsidRPr="00A701F7">
        <w:t xml:space="preserve"> (2004) examine</w:t>
      </w:r>
      <w:r w:rsidR="00B3657D">
        <w:rPr>
          <w:rFonts w:hint="eastAsia"/>
        </w:rPr>
        <w:t>d</w:t>
      </w:r>
      <w:r w:rsidRPr="00A701F7">
        <w:t xml:space="preserve"> the impact of security breaches on the market value o</w:t>
      </w:r>
      <w:r w:rsidR="00B3657D">
        <w:t>f breached firms using an event</w:t>
      </w:r>
      <w:r w:rsidR="00B3657D">
        <w:rPr>
          <w:rFonts w:hint="eastAsia"/>
        </w:rPr>
        <w:t xml:space="preserve"> </w:t>
      </w:r>
      <w:r w:rsidRPr="00A701F7">
        <w:t>study analysis</w:t>
      </w:r>
      <w:r w:rsidR="00B3657D">
        <w:rPr>
          <w:rFonts w:hint="eastAsia"/>
        </w:rPr>
        <w:t xml:space="preserve"> and</w:t>
      </w:r>
      <w:r w:rsidRPr="00A701F7">
        <w:t xml:space="preserve"> market valuations. The results show that announcing an </w:t>
      </w:r>
      <w:r w:rsidR="00B3657D" w:rsidRPr="00A701F7">
        <w:t xml:space="preserve">internet </w:t>
      </w:r>
      <w:r w:rsidRPr="00A701F7">
        <w:t>security breach is negatively associated</w:t>
      </w:r>
      <w:r w:rsidR="00B3657D">
        <w:rPr>
          <w:rFonts w:hint="eastAsia"/>
        </w:rPr>
        <w:t xml:space="preserve"> </w:t>
      </w:r>
      <w:r w:rsidRPr="00A701F7">
        <w:t>with the market value of the announcing firm. The breached firms in the sample lost, on</w:t>
      </w:r>
      <w:r w:rsidR="00B3657D">
        <w:rPr>
          <w:rFonts w:hint="eastAsia"/>
        </w:rPr>
        <w:t xml:space="preserve"> </w:t>
      </w:r>
      <w:r w:rsidRPr="00A701F7">
        <w:t>average, 2.1</w:t>
      </w:r>
      <w:r w:rsidR="00B3657D">
        <w:rPr>
          <w:rFonts w:hint="eastAsia"/>
        </w:rPr>
        <w:t>%</w:t>
      </w:r>
      <w:r w:rsidRPr="00A701F7">
        <w:t xml:space="preserve"> of their market value within two days of the announcement—an</w:t>
      </w:r>
      <w:r w:rsidR="00B3657D">
        <w:rPr>
          <w:rFonts w:hint="eastAsia"/>
        </w:rPr>
        <w:t xml:space="preserve"> </w:t>
      </w:r>
      <w:r w:rsidRPr="00A701F7">
        <w:t>average loss in market capitalization of $1.65 billion per breach. Firm type, firm size, and</w:t>
      </w:r>
      <w:r w:rsidR="00B3657D">
        <w:rPr>
          <w:rFonts w:hint="eastAsia"/>
        </w:rPr>
        <w:t xml:space="preserve"> </w:t>
      </w:r>
      <w:r w:rsidRPr="00A701F7">
        <w:t xml:space="preserve">the year the breach occurred help explain the cross-sectional variations in </w:t>
      </w:r>
      <w:r w:rsidR="00B3657D">
        <w:rPr>
          <w:rFonts w:hint="eastAsia"/>
        </w:rPr>
        <w:t xml:space="preserve">ARs </w:t>
      </w:r>
      <w:r w:rsidRPr="00A701F7">
        <w:t>produced by security breaches.</w:t>
      </w:r>
      <w:r w:rsidR="00B3657D">
        <w:rPr>
          <w:rFonts w:hint="eastAsia"/>
        </w:rPr>
        <w:t xml:space="preserve"> </w:t>
      </w:r>
      <w:r w:rsidRPr="00A701F7">
        <w:t>The effects of security breaches were not restricted to the breached firms. The market value of security technology firms was positively associated</w:t>
      </w:r>
      <w:r w:rsidR="00B3657D">
        <w:rPr>
          <w:rFonts w:hint="eastAsia"/>
        </w:rPr>
        <w:t xml:space="preserve"> </w:t>
      </w:r>
      <w:r w:rsidRPr="00A701F7">
        <w:t>with the disclosure of a security breach. The security firms in the sample</w:t>
      </w:r>
      <w:r w:rsidR="00B3657D">
        <w:rPr>
          <w:rFonts w:hint="eastAsia"/>
        </w:rPr>
        <w:t xml:space="preserve"> </w:t>
      </w:r>
      <w:r w:rsidRPr="00A701F7">
        <w:t xml:space="preserve">realized, on average, an </w:t>
      </w:r>
      <w:r w:rsidR="00B3657D">
        <w:rPr>
          <w:rFonts w:hint="eastAsia"/>
        </w:rPr>
        <w:t>AR</w:t>
      </w:r>
      <w:r w:rsidRPr="00A701F7">
        <w:t xml:space="preserve"> of 1.36</w:t>
      </w:r>
      <w:r w:rsidR="00B3657D">
        <w:rPr>
          <w:rFonts w:hint="eastAsia"/>
        </w:rPr>
        <w:t>%</w:t>
      </w:r>
      <w:r w:rsidRPr="00A701F7">
        <w:t xml:space="preserve"> within two days after</w:t>
      </w:r>
      <w:r w:rsidR="00B3657D">
        <w:rPr>
          <w:rFonts w:hint="eastAsia"/>
        </w:rPr>
        <w:t xml:space="preserve"> </w:t>
      </w:r>
      <w:r w:rsidRPr="00A701F7">
        <w:t>the announcement. This produced, on average, a total gain for security firms</w:t>
      </w:r>
      <w:r w:rsidR="00B3657D">
        <w:rPr>
          <w:rFonts w:hint="eastAsia"/>
        </w:rPr>
        <w:t xml:space="preserve"> </w:t>
      </w:r>
      <w:r w:rsidRPr="00A701F7">
        <w:t>of $1.06 billion in a two-day period.</w:t>
      </w:r>
    </w:p>
    <w:p w:rsidR="00A701F7" w:rsidRPr="00A701F7" w:rsidRDefault="00A701F7" w:rsidP="001F0251">
      <w:pPr>
        <w:ind w:firstLine="420"/>
      </w:pPr>
      <w:r w:rsidRPr="00A701F7">
        <w:t>Hanlon and Slemrod</w:t>
      </w:r>
      <w:r w:rsidR="00B3657D">
        <w:rPr>
          <w:rFonts w:hint="eastAsia"/>
        </w:rPr>
        <w:t xml:space="preserve"> </w:t>
      </w:r>
      <w:r w:rsidRPr="00A701F7">
        <w:t>(2009) analyze</w:t>
      </w:r>
      <w:r w:rsidR="00B3657D">
        <w:rPr>
          <w:rFonts w:hint="eastAsia"/>
        </w:rPr>
        <w:t>d</w:t>
      </w:r>
      <w:r w:rsidRPr="00A701F7">
        <w:t xml:space="preserve"> what kind of influence</w:t>
      </w:r>
      <w:r w:rsidR="00B3657D">
        <w:rPr>
          <w:rFonts w:hint="eastAsia"/>
        </w:rPr>
        <w:t xml:space="preserve"> that</w:t>
      </w:r>
      <w:r w:rsidRPr="00A701F7">
        <w:t xml:space="preserve"> news releases about international tax avoidance involving TPT had on investor actions. They </w:t>
      </w:r>
      <w:r w:rsidR="00B3657D">
        <w:rPr>
          <w:rFonts w:hint="eastAsia"/>
        </w:rPr>
        <w:t>found</w:t>
      </w:r>
      <w:r w:rsidRPr="00A701F7">
        <w:t xml:space="preserve"> that the reaction of investors is significantly negative for the news releases about companies</w:t>
      </w:r>
      <w:r w:rsidR="002A56DC">
        <w:rPr>
          <w:rFonts w:hint="eastAsia"/>
        </w:rPr>
        <w:t xml:space="preserve"> </w:t>
      </w:r>
      <w:r w:rsidRPr="00A701F7">
        <w:t>using tax sheltering</w:t>
      </w:r>
      <w:r w:rsidR="002A56DC">
        <w:rPr>
          <w:rFonts w:hint="eastAsia"/>
        </w:rPr>
        <w:t>,</w:t>
      </w:r>
      <w:r w:rsidRPr="00A701F7">
        <w:t xml:space="preserve"> that is, they </w:t>
      </w:r>
      <w:r w:rsidR="002A56DC">
        <w:rPr>
          <w:rFonts w:hint="eastAsia"/>
        </w:rPr>
        <w:t>found</w:t>
      </w:r>
      <w:r w:rsidRPr="00A701F7">
        <w:t xml:space="preserve"> that, on average, a company’s stock price declines when there is news about the company’s involvement in tax sheltering</w:t>
      </w:r>
      <w:r w:rsidR="002A56DC">
        <w:rPr>
          <w:rFonts w:hint="eastAsia"/>
        </w:rPr>
        <w:t>.</w:t>
      </w:r>
      <w:r w:rsidRPr="00A701F7">
        <w:rPr>
          <w:rStyle w:val="a7"/>
        </w:rPr>
        <w:footnoteReference w:id="8"/>
      </w:r>
    </w:p>
    <w:p w:rsidR="00A701F7" w:rsidRPr="00A701F7" w:rsidRDefault="00A701F7" w:rsidP="001F0251">
      <w:pPr>
        <w:ind w:firstLine="420"/>
      </w:pPr>
      <w:r w:rsidRPr="00A701F7">
        <w:t>Armstrong</w:t>
      </w:r>
      <w:r w:rsidR="002A56DC">
        <w:rPr>
          <w:rFonts w:hint="eastAsia"/>
        </w:rPr>
        <w:t>,</w:t>
      </w:r>
      <w:r w:rsidRPr="00A701F7">
        <w:t xml:space="preserve"> </w:t>
      </w:r>
      <w:r w:rsidR="002A56DC">
        <w:t xml:space="preserve">Barth, Jagolinzer, </w:t>
      </w:r>
      <w:r w:rsidR="002A56DC">
        <w:rPr>
          <w:rFonts w:hint="eastAsia"/>
        </w:rPr>
        <w:t xml:space="preserve">and </w:t>
      </w:r>
      <w:r w:rsidR="002A56DC" w:rsidRPr="002A56DC">
        <w:t>Riedl</w:t>
      </w:r>
      <w:r w:rsidR="002A56DC">
        <w:t xml:space="preserve"> (2010) examine</w:t>
      </w:r>
      <w:r w:rsidR="002A56DC">
        <w:rPr>
          <w:rFonts w:hint="eastAsia"/>
        </w:rPr>
        <w:t>d</w:t>
      </w:r>
      <w:r w:rsidRPr="00A701F7">
        <w:t xml:space="preserve"> European stock market reactions to 16 events associated</w:t>
      </w:r>
      <w:r w:rsidR="002A56DC">
        <w:rPr>
          <w:rFonts w:hint="eastAsia"/>
        </w:rPr>
        <w:t xml:space="preserve"> </w:t>
      </w:r>
      <w:r w:rsidRPr="00A701F7">
        <w:t>with the adoption of International Financial Reporting Standards (IFRS) in Europe.</w:t>
      </w:r>
      <w:r w:rsidR="002A56DC">
        <w:rPr>
          <w:rFonts w:hint="eastAsia"/>
        </w:rPr>
        <w:t xml:space="preserve"> </w:t>
      </w:r>
      <w:r w:rsidRPr="00A701F7">
        <w:t>European IFRS adoption represented a major milestone toward</w:t>
      </w:r>
      <w:r w:rsidR="002A56DC">
        <w:rPr>
          <w:rFonts w:hint="eastAsia"/>
        </w:rPr>
        <w:t>s</w:t>
      </w:r>
      <w:r w:rsidRPr="00A701F7">
        <w:t xml:space="preserve"> financial reporting</w:t>
      </w:r>
      <w:r w:rsidR="002A56DC">
        <w:rPr>
          <w:rFonts w:hint="eastAsia"/>
        </w:rPr>
        <w:t xml:space="preserve"> </w:t>
      </w:r>
      <w:r w:rsidRPr="00A701F7">
        <w:t>convergence yet spurred controversy reaching the highest levels of government.</w:t>
      </w:r>
      <w:r w:rsidR="002A56DC">
        <w:rPr>
          <w:rFonts w:hint="eastAsia"/>
        </w:rPr>
        <w:t xml:space="preserve"> </w:t>
      </w:r>
      <w:r w:rsidRPr="00A701F7">
        <w:t>They f</w:t>
      </w:r>
      <w:r w:rsidR="002A56DC">
        <w:rPr>
          <w:rFonts w:hint="eastAsia"/>
        </w:rPr>
        <w:t>ound</w:t>
      </w:r>
      <w:r w:rsidRPr="00A701F7">
        <w:t xml:space="preserve"> an incrementally positive reac</w:t>
      </w:r>
      <w:r w:rsidR="002A56DC">
        <w:t>tion for firms with lower</w:t>
      </w:r>
      <w:r w:rsidR="002A56DC">
        <w:rPr>
          <w:rFonts w:hint="eastAsia"/>
        </w:rPr>
        <w:t>-</w:t>
      </w:r>
      <w:r w:rsidRPr="00A701F7">
        <w:t>quality pre-adoption information,</w:t>
      </w:r>
      <w:r w:rsidR="002A56DC">
        <w:rPr>
          <w:rFonts w:hint="eastAsia"/>
        </w:rPr>
        <w:t xml:space="preserve"> </w:t>
      </w:r>
      <w:r w:rsidRPr="00A701F7">
        <w:t>which is more pronounced for banks, and with higher pre-adoption information</w:t>
      </w:r>
      <w:r w:rsidR="002A56DC">
        <w:rPr>
          <w:rFonts w:hint="eastAsia"/>
        </w:rPr>
        <w:t xml:space="preserve"> </w:t>
      </w:r>
      <w:r w:rsidRPr="00A701F7">
        <w:t>asymmetry, consistent with investors expecting net information quality benefits from</w:t>
      </w:r>
      <w:r w:rsidR="002A56DC">
        <w:rPr>
          <w:rFonts w:hint="eastAsia"/>
        </w:rPr>
        <w:t xml:space="preserve"> </w:t>
      </w:r>
      <w:r w:rsidRPr="00A701F7">
        <w:t xml:space="preserve">IFRS adoption. Besides, they </w:t>
      </w:r>
      <w:r w:rsidR="002A56DC">
        <w:rPr>
          <w:rFonts w:hint="eastAsia"/>
        </w:rPr>
        <w:t>found</w:t>
      </w:r>
      <w:r w:rsidRPr="00A701F7">
        <w:t xml:space="preserve"> an incrementally negative reaction for firms domiciled in code</w:t>
      </w:r>
      <w:r w:rsidR="002A56DC">
        <w:rPr>
          <w:rFonts w:hint="eastAsia"/>
        </w:rPr>
        <w:t xml:space="preserve"> </w:t>
      </w:r>
      <w:r w:rsidRPr="00A701F7">
        <w:t xml:space="preserve">law countries, consistent with investors’ concerns over </w:t>
      </w:r>
      <w:r w:rsidR="002A56DC">
        <w:rPr>
          <w:rFonts w:hint="eastAsia"/>
        </w:rPr>
        <w:t xml:space="preserve">the </w:t>
      </w:r>
      <w:r w:rsidRPr="00A701F7">
        <w:t>enforcement of IFRS in those</w:t>
      </w:r>
      <w:r w:rsidR="002A56DC">
        <w:rPr>
          <w:rFonts w:hint="eastAsia"/>
        </w:rPr>
        <w:t xml:space="preserve"> </w:t>
      </w:r>
      <w:r w:rsidRPr="00A701F7">
        <w:t xml:space="preserve">countries. Finally, Armstrong et al. (2010) </w:t>
      </w:r>
      <w:r w:rsidR="002A56DC">
        <w:rPr>
          <w:rFonts w:hint="eastAsia"/>
        </w:rPr>
        <w:t>found</w:t>
      </w:r>
      <w:r w:rsidRPr="00A701F7">
        <w:t xml:space="preserve"> a positive reaction to IFRS adoption events for firms with</w:t>
      </w:r>
      <w:r w:rsidR="002A56DC">
        <w:rPr>
          <w:rFonts w:hint="eastAsia"/>
        </w:rPr>
        <w:t xml:space="preserve"> </w:t>
      </w:r>
      <w:r w:rsidRPr="00A701F7">
        <w:t>high-quality pre-adoption information, consistent with investors expecting net convergence</w:t>
      </w:r>
      <w:r w:rsidR="002A56DC">
        <w:rPr>
          <w:rFonts w:hint="eastAsia"/>
        </w:rPr>
        <w:t xml:space="preserve"> </w:t>
      </w:r>
      <w:r w:rsidRPr="00A701F7">
        <w:t>benefits from IFRS adoption.</w:t>
      </w:r>
    </w:p>
    <w:p w:rsidR="00A701F7" w:rsidRPr="00A701F7" w:rsidRDefault="00A701F7" w:rsidP="001F0251">
      <w:pPr>
        <w:ind w:firstLine="420"/>
      </w:pPr>
      <w:r w:rsidRPr="00A701F7">
        <w:t>Gatzlaff and McCullough</w:t>
      </w:r>
      <w:r w:rsidR="002A56DC">
        <w:rPr>
          <w:rFonts w:hint="eastAsia"/>
        </w:rPr>
        <w:t xml:space="preserve"> </w:t>
      </w:r>
      <w:r w:rsidRPr="00A701F7">
        <w:t>(2010)</w:t>
      </w:r>
      <w:r w:rsidR="002A56DC">
        <w:rPr>
          <w:rFonts w:hint="eastAsia"/>
        </w:rPr>
        <w:t xml:space="preserve"> </w:t>
      </w:r>
      <w:r w:rsidRPr="00A701F7">
        <w:t>examine</w:t>
      </w:r>
      <w:r w:rsidR="002A56DC">
        <w:rPr>
          <w:rFonts w:hint="eastAsia"/>
        </w:rPr>
        <w:t>d</w:t>
      </w:r>
      <w:r w:rsidRPr="00A701F7">
        <w:t xml:space="preserve"> the stock market’s assessment of the cost of data breaches</w:t>
      </w:r>
      <w:r w:rsidR="002A56DC">
        <w:rPr>
          <w:rFonts w:hint="eastAsia"/>
        </w:rPr>
        <w:t xml:space="preserve"> </w:t>
      </w:r>
      <w:r w:rsidRPr="00A701F7">
        <w:t>at publicly traded companies in which personal information</w:t>
      </w:r>
      <w:r w:rsidR="002A56DC">
        <w:rPr>
          <w:rFonts w:hint="eastAsia"/>
        </w:rPr>
        <w:t>,</w:t>
      </w:r>
      <w:r w:rsidRPr="00A701F7">
        <w:t xml:space="preserve"> such as customer</w:t>
      </w:r>
      <w:r w:rsidR="002A56DC">
        <w:rPr>
          <w:rFonts w:hint="eastAsia"/>
        </w:rPr>
        <w:t xml:space="preserve"> </w:t>
      </w:r>
      <w:r w:rsidRPr="00A701F7">
        <w:t>and/or employee data</w:t>
      </w:r>
      <w:r w:rsidR="002A56DC">
        <w:rPr>
          <w:rFonts w:hint="eastAsia"/>
        </w:rPr>
        <w:t>,</w:t>
      </w:r>
      <w:r w:rsidRPr="00A701F7">
        <w:t xml:space="preserve"> </w:t>
      </w:r>
      <w:r w:rsidR="002A56DC">
        <w:rPr>
          <w:rFonts w:hint="eastAsia"/>
        </w:rPr>
        <w:t>is</w:t>
      </w:r>
      <w:r w:rsidRPr="00A701F7">
        <w:t xml:space="preserve"> exposed. Using event study methodology on a sample</w:t>
      </w:r>
      <w:r w:rsidR="002A56DC">
        <w:rPr>
          <w:rFonts w:hint="eastAsia"/>
        </w:rPr>
        <w:t xml:space="preserve"> </w:t>
      </w:r>
      <w:r w:rsidRPr="00A701F7">
        <w:t xml:space="preserve">of 77 events between the beginning of 2004 and the end of 2006, they </w:t>
      </w:r>
      <w:r w:rsidR="002A56DC">
        <w:rPr>
          <w:rFonts w:hint="eastAsia"/>
        </w:rPr>
        <w:t xml:space="preserve">found </w:t>
      </w:r>
      <w:r w:rsidRPr="00A701F7">
        <w:t>that the overall effect of a data breach on shareholder wealth is negative and</w:t>
      </w:r>
      <w:r w:rsidR="004144F6">
        <w:rPr>
          <w:rFonts w:hint="eastAsia"/>
        </w:rPr>
        <w:t xml:space="preserve"> </w:t>
      </w:r>
      <w:r w:rsidRPr="00A701F7">
        <w:t xml:space="preserve">statistically significant. </w:t>
      </w:r>
      <w:r w:rsidRPr="00A701F7">
        <w:lastRenderedPageBreak/>
        <w:t xml:space="preserve">Based on a cross-sectional analysis of the </w:t>
      </w:r>
      <w:r w:rsidR="004144F6">
        <w:rPr>
          <w:rFonts w:hint="eastAsia"/>
        </w:rPr>
        <w:t>CAR</w:t>
      </w:r>
      <w:r w:rsidRPr="00A701F7">
        <w:t xml:space="preserve">s, they </w:t>
      </w:r>
      <w:r w:rsidR="004144F6">
        <w:rPr>
          <w:rFonts w:hint="eastAsia"/>
        </w:rPr>
        <w:t>found</w:t>
      </w:r>
      <w:r w:rsidRPr="00A701F7">
        <w:t xml:space="preserve"> a negative association between market reaction and</w:t>
      </w:r>
      <w:r w:rsidR="004144F6">
        <w:rPr>
          <w:rFonts w:hint="eastAsia"/>
        </w:rPr>
        <w:t xml:space="preserve"> </w:t>
      </w:r>
      <w:r w:rsidRPr="00A701F7">
        <w:t xml:space="preserve">firms that are less forthcoming about the details of the breach. They also </w:t>
      </w:r>
      <w:r w:rsidR="004144F6">
        <w:rPr>
          <w:rFonts w:hint="eastAsia"/>
        </w:rPr>
        <w:t>found</w:t>
      </w:r>
      <w:r w:rsidRPr="00A701F7">
        <w:t xml:space="preserve"> that</w:t>
      </w:r>
      <w:r w:rsidR="004144F6">
        <w:rPr>
          <w:rFonts w:hint="eastAsia"/>
        </w:rPr>
        <w:t xml:space="preserve"> </w:t>
      </w:r>
      <w:r w:rsidRPr="00A701F7">
        <w:t xml:space="preserve">firms with higher market-to-book ratios experience greater negative </w:t>
      </w:r>
      <w:r w:rsidR="001E121E">
        <w:rPr>
          <w:rFonts w:hint="eastAsia"/>
        </w:rPr>
        <w:t>AR</w:t>
      </w:r>
      <w:r w:rsidRPr="00A701F7">
        <w:t>s associated with a data breach. Further, Gatzlaff and McCullough</w:t>
      </w:r>
      <w:r w:rsidR="001E121E">
        <w:rPr>
          <w:rFonts w:hint="eastAsia"/>
        </w:rPr>
        <w:t xml:space="preserve"> </w:t>
      </w:r>
      <w:r w:rsidRPr="00A701F7">
        <w:t>(2010)</w:t>
      </w:r>
      <w:r w:rsidR="001E121E">
        <w:rPr>
          <w:rFonts w:hint="eastAsia"/>
        </w:rPr>
        <w:t xml:space="preserve"> found</w:t>
      </w:r>
      <w:r w:rsidRPr="00A701F7">
        <w:t xml:space="preserve"> that firm size and subsidiary</w:t>
      </w:r>
      <w:r w:rsidR="001E121E">
        <w:rPr>
          <w:rFonts w:hint="eastAsia"/>
        </w:rPr>
        <w:t xml:space="preserve"> </w:t>
      </w:r>
      <w:r w:rsidRPr="00A701F7">
        <w:t>status mitigate the negative effect of a data breach on the firm’s stock</w:t>
      </w:r>
      <w:r w:rsidR="001E121E">
        <w:rPr>
          <w:rFonts w:hint="eastAsia"/>
        </w:rPr>
        <w:t xml:space="preserve"> </w:t>
      </w:r>
      <w:r w:rsidRPr="00A701F7">
        <w:t>price and that the negative market reaction to a data breach is more significant</w:t>
      </w:r>
      <w:r w:rsidR="001E121E">
        <w:rPr>
          <w:rFonts w:hint="eastAsia"/>
        </w:rPr>
        <w:t xml:space="preserve"> </w:t>
      </w:r>
      <w:r w:rsidRPr="00A701F7">
        <w:t>in the most recent time periods of the sample.</w:t>
      </w:r>
    </w:p>
    <w:p w:rsidR="00A701F7" w:rsidRPr="007E752E" w:rsidRDefault="00A701F7" w:rsidP="001F0251">
      <w:pPr>
        <w:ind w:firstLine="420"/>
      </w:pPr>
      <w:r w:rsidRPr="007E752E">
        <w:t>Ghosh</w:t>
      </w:r>
      <w:r w:rsidR="001E121E" w:rsidRPr="007E752E">
        <w:rPr>
          <w:rFonts w:hint="eastAsia"/>
        </w:rPr>
        <w:t>,</w:t>
      </w:r>
      <w:r w:rsidRPr="007E752E">
        <w:t xml:space="preserve"> </w:t>
      </w:r>
      <w:r w:rsidR="001E121E" w:rsidRPr="007E752E">
        <w:t>Giambona, Harding, Sezer,</w:t>
      </w:r>
      <w:r w:rsidR="001E121E" w:rsidRPr="007E752E">
        <w:rPr>
          <w:rFonts w:hint="eastAsia"/>
        </w:rPr>
        <w:t xml:space="preserve"> and </w:t>
      </w:r>
      <w:r w:rsidR="001E121E" w:rsidRPr="007E752E">
        <w:t>Sirmans</w:t>
      </w:r>
      <w:r w:rsidRPr="007E752E">
        <w:t xml:space="preserve"> (2010) examine</w:t>
      </w:r>
      <w:r w:rsidR="001E121E" w:rsidRPr="007E752E">
        <w:rPr>
          <w:rFonts w:hint="eastAsia"/>
        </w:rPr>
        <w:t>d</w:t>
      </w:r>
      <w:r w:rsidRPr="007E752E">
        <w:t xml:space="preserve"> the role of stock option programs and executive holdings</w:t>
      </w:r>
      <w:r w:rsidR="001E121E" w:rsidRPr="007E752E">
        <w:rPr>
          <w:rFonts w:hint="eastAsia"/>
        </w:rPr>
        <w:t xml:space="preserve"> </w:t>
      </w:r>
      <w:r w:rsidRPr="007E752E">
        <w:t>of stock options in real estate investment trust (REIT) governance. They</w:t>
      </w:r>
      <w:r w:rsidR="001E121E" w:rsidRPr="007E752E">
        <w:rPr>
          <w:rFonts w:hint="eastAsia"/>
        </w:rPr>
        <w:t xml:space="preserve"> </w:t>
      </w:r>
      <w:r w:rsidRPr="007E752E">
        <w:t>investigate</w:t>
      </w:r>
      <w:r w:rsidR="001E121E" w:rsidRPr="007E752E">
        <w:rPr>
          <w:rFonts w:hint="eastAsia"/>
        </w:rPr>
        <w:t>d</w:t>
      </w:r>
      <w:r w:rsidRPr="007E752E">
        <w:t xml:space="preserve"> the role that stock option programs and other internal governance</w:t>
      </w:r>
      <w:r w:rsidR="001E121E" w:rsidRPr="007E752E">
        <w:rPr>
          <w:rFonts w:hint="eastAsia"/>
        </w:rPr>
        <w:t xml:space="preserve"> </w:t>
      </w:r>
      <w:r w:rsidRPr="007E752E">
        <w:t xml:space="preserve">mechanisms </w:t>
      </w:r>
      <w:r w:rsidR="007E752E" w:rsidRPr="007E752E">
        <w:t>play in overall REIT governance</w:t>
      </w:r>
      <w:r w:rsidR="008F289A" w:rsidRPr="007E752E">
        <w:rPr>
          <w:rFonts w:hint="eastAsia"/>
        </w:rPr>
        <w:t xml:space="preserve"> </w:t>
      </w:r>
      <w:r w:rsidRPr="007E752E">
        <w:t>by analyzing how these factors</w:t>
      </w:r>
      <w:r w:rsidR="001E121E" w:rsidRPr="007E752E">
        <w:rPr>
          <w:rFonts w:hint="eastAsia"/>
        </w:rPr>
        <w:t xml:space="preserve"> </w:t>
      </w:r>
      <w:r w:rsidRPr="007E752E">
        <w:t>influence the market reaction to the announcement of a stock repurchase.</w:t>
      </w:r>
      <w:r w:rsidR="007E752E">
        <w:rPr>
          <w:rFonts w:hint="eastAsia"/>
        </w:rPr>
        <w:t xml:space="preserve">      </w:t>
      </w:r>
      <w:r w:rsidR="001E121E" w:rsidRPr="007E752E">
        <w:rPr>
          <w:rFonts w:hint="eastAsia"/>
        </w:rPr>
        <w:t xml:space="preserve"> </w:t>
      </w:r>
      <w:r w:rsidRPr="007E752E">
        <w:t>In particular, they examine</w:t>
      </w:r>
      <w:r w:rsidR="001E121E" w:rsidRPr="007E752E">
        <w:rPr>
          <w:rFonts w:hint="eastAsia"/>
        </w:rPr>
        <w:t>d</w:t>
      </w:r>
      <w:r w:rsidRPr="007E752E">
        <w:t xml:space="preserve"> how executive and employee stock option holdings</w:t>
      </w:r>
      <w:r w:rsidR="001E121E" w:rsidRPr="007E752E">
        <w:rPr>
          <w:rFonts w:hint="eastAsia"/>
        </w:rPr>
        <w:t xml:space="preserve"> </w:t>
      </w:r>
      <w:r w:rsidRPr="007E752E">
        <w:t>influence the market reaction to a firm’s announcement of a stock repurchase.</w:t>
      </w:r>
      <w:r w:rsidR="001E121E" w:rsidRPr="007E752E">
        <w:rPr>
          <w:rFonts w:hint="eastAsia"/>
        </w:rPr>
        <w:t xml:space="preserve"> </w:t>
      </w:r>
      <w:r w:rsidRPr="007E752E">
        <w:t>Using a sample of REIT repurchase announcements, Ghosh</w:t>
      </w:r>
      <w:r w:rsidR="001763A5">
        <w:rPr>
          <w:rFonts w:hint="eastAsia"/>
        </w:rPr>
        <w:t xml:space="preserve">    </w:t>
      </w:r>
      <w:r w:rsidRPr="007E752E">
        <w:t xml:space="preserve"> et al. (2010) </w:t>
      </w:r>
      <w:r w:rsidR="001E121E" w:rsidRPr="007E752E">
        <w:rPr>
          <w:rFonts w:hint="eastAsia"/>
        </w:rPr>
        <w:t>found</w:t>
      </w:r>
      <w:r w:rsidRPr="007E752E">
        <w:t xml:space="preserve"> that the market</w:t>
      </w:r>
      <w:r w:rsidR="001E121E" w:rsidRPr="007E752E">
        <w:rPr>
          <w:rFonts w:hint="eastAsia"/>
        </w:rPr>
        <w:t xml:space="preserve"> </w:t>
      </w:r>
      <w:r w:rsidRPr="007E752E">
        <w:t>reacts more favorably to announcements by firms where executives have</w:t>
      </w:r>
      <w:r w:rsidR="001E121E" w:rsidRPr="007E752E">
        <w:rPr>
          <w:rFonts w:hint="eastAsia"/>
        </w:rPr>
        <w:t xml:space="preserve"> </w:t>
      </w:r>
      <w:r w:rsidRPr="007E752E">
        <w:t>larger option holdings and the chief executive officer is not entrenched. Their results with respect to the roles of</w:t>
      </w:r>
      <w:r w:rsidR="008F289A" w:rsidRPr="007E752E">
        <w:rPr>
          <w:rFonts w:hint="eastAsia"/>
        </w:rPr>
        <w:t xml:space="preserve"> </w:t>
      </w:r>
      <w:r w:rsidRPr="007E752E">
        <w:t>stock option holdings of executives and</w:t>
      </w:r>
      <w:r w:rsidR="001E121E" w:rsidRPr="007E752E">
        <w:rPr>
          <w:rFonts w:hint="eastAsia"/>
        </w:rPr>
        <w:t xml:space="preserve"> </w:t>
      </w:r>
      <w:r w:rsidRPr="007E752E">
        <w:t>non</w:t>
      </w:r>
      <w:r w:rsidR="001E121E" w:rsidRPr="007E752E">
        <w:rPr>
          <w:rFonts w:hint="eastAsia"/>
        </w:rPr>
        <w:t>-</w:t>
      </w:r>
      <w:r w:rsidRPr="007E752E">
        <w:t>executives differ from those reported for a cross-section of non-REIT firms. Though</w:t>
      </w:r>
      <w:r w:rsidR="001E121E" w:rsidRPr="007E752E">
        <w:rPr>
          <w:rFonts w:hint="eastAsia"/>
        </w:rPr>
        <w:t xml:space="preserve"> </w:t>
      </w:r>
      <w:r w:rsidRPr="007E752E">
        <w:t xml:space="preserve">they </w:t>
      </w:r>
      <w:r w:rsidR="001E121E" w:rsidRPr="007E752E">
        <w:rPr>
          <w:rFonts w:hint="eastAsia"/>
        </w:rPr>
        <w:t>found</w:t>
      </w:r>
      <w:r w:rsidRPr="007E752E">
        <w:t xml:space="preserve"> evidence supporting the importance of executive stock options</w:t>
      </w:r>
      <w:r w:rsidR="001E121E" w:rsidRPr="007E752E">
        <w:rPr>
          <w:rFonts w:hint="eastAsia"/>
        </w:rPr>
        <w:t xml:space="preserve"> </w:t>
      </w:r>
      <w:r w:rsidRPr="007E752E">
        <w:t>in aligning the incentives of management and reinforcing the positive signaling</w:t>
      </w:r>
      <w:r w:rsidR="001E121E" w:rsidRPr="007E752E">
        <w:rPr>
          <w:rFonts w:hint="eastAsia"/>
        </w:rPr>
        <w:t xml:space="preserve"> </w:t>
      </w:r>
      <w:r w:rsidRPr="007E752E">
        <w:t>associated with a re</w:t>
      </w:r>
      <w:r w:rsidR="001E121E" w:rsidRPr="007E752E">
        <w:t xml:space="preserve">purchase announcement, they </w:t>
      </w:r>
      <w:r w:rsidR="001E121E" w:rsidRPr="007E752E">
        <w:rPr>
          <w:rFonts w:hint="eastAsia"/>
        </w:rPr>
        <w:t>found</w:t>
      </w:r>
      <w:r w:rsidRPr="007E752E">
        <w:t xml:space="preserve"> little evidence that the</w:t>
      </w:r>
      <w:r w:rsidR="001E121E" w:rsidRPr="007E752E">
        <w:rPr>
          <w:rFonts w:hint="eastAsia"/>
        </w:rPr>
        <w:t xml:space="preserve"> </w:t>
      </w:r>
      <w:r w:rsidRPr="007E752E">
        <w:t>market views REIT repurchases as being used primarily to fund option exercise.</w:t>
      </w:r>
    </w:p>
    <w:p w:rsidR="00A701F7" w:rsidRPr="00FD41CA" w:rsidRDefault="00A701F7" w:rsidP="001F0251">
      <w:pPr>
        <w:ind w:firstLine="420"/>
        <w:rPr>
          <w:color w:val="000000"/>
        </w:rPr>
      </w:pPr>
      <w:r w:rsidRPr="00FD41CA">
        <w:rPr>
          <w:color w:val="000000"/>
        </w:rPr>
        <w:t xml:space="preserve">While there are few previous analyses of the stock market reaction to tax sheltering, there are several studies related to tax avoidance and </w:t>
      </w:r>
      <w:r w:rsidR="00FD41CA">
        <w:rPr>
          <w:rFonts w:hint="eastAsia"/>
          <w:color w:val="000000"/>
        </w:rPr>
        <w:t>CG</w:t>
      </w:r>
      <w:r w:rsidRPr="00FD41CA">
        <w:rPr>
          <w:color w:val="000000"/>
        </w:rPr>
        <w:t>. Desai and Dharmapala</w:t>
      </w:r>
      <w:r w:rsidR="00FD41CA">
        <w:rPr>
          <w:rFonts w:hint="eastAsia"/>
          <w:color w:val="000000"/>
        </w:rPr>
        <w:t xml:space="preserve"> </w:t>
      </w:r>
      <w:r w:rsidRPr="00FD41CA">
        <w:rPr>
          <w:color w:val="000000"/>
        </w:rPr>
        <w:t>(</w:t>
      </w:r>
      <w:r w:rsidRPr="008351D5">
        <w:rPr>
          <w:color w:val="000000"/>
        </w:rPr>
        <w:t>200</w:t>
      </w:r>
      <w:r w:rsidR="008351D5" w:rsidRPr="008351D5">
        <w:rPr>
          <w:rFonts w:hint="eastAsia"/>
          <w:color w:val="000000"/>
        </w:rPr>
        <w:t>6</w:t>
      </w:r>
      <w:r w:rsidRPr="00FD41CA">
        <w:rPr>
          <w:color w:val="000000"/>
        </w:rPr>
        <w:t>) examine</w:t>
      </w:r>
      <w:r w:rsidR="00FD41CA">
        <w:rPr>
          <w:rFonts w:hint="eastAsia"/>
          <w:color w:val="000000"/>
        </w:rPr>
        <w:t>d</w:t>
      </w:r>
      <w:r w:rsidRPr="00FD41CA">
        <w:rPr>
          <w:color w:val="000000"/>
        </w:rPr>
        <w:t xml:space="preserve"> how investors value managerial actions designed solely to minimize corporate tax obligations by regressing over a cross-section of companies’ Tobin’s </w:t>
      </w:r>
      <w:r w:rsidRPr="00FD41CA">
        <w:rPr>
          <w:i/>
          <w:color w:val="000000"/>
        </w:rPr>
        <w:t>q</w:t>
      </w:r>
      <w:r w:rsidRPr="00FD41CA">
        <w:rPr>
          <w:color w:val="000000"/>
        </w:rPr>
        <w:t xml:space="preserve"> (market value divided by the replacement cost of assets) on a proxy for tax avoidance (measured as an estimate of the book-tax differences of the firm less an estimate of the portion of the book-tax differences due to earnings management, i.e., the total accruals of the firm). They </w:t>
      </w:r>
      <w:r w:rsidR="00FD41CA">
        <w:rPr>
          <w:rFonts w:hint="eastAsia"/>
          <w:color w:val="000000"/>
        </w:rPr>
        <w:t>found</w:t>
      </w:r>
      <w:r w:rsidRPr="00FD41CA">
        <w:rPr>
          <w:color w:val="000000"/>
        </w:rPr>
        <w:t xml:space="preserve"> that their proxy for tax avoidance is positively related to firm value for well-governed firms, but weakly related to firm value for poorly</w:t>
      </w:r>
      <w:r w:rsidR="00FD41CA">
        <w:rPr>
          <w:rFonts w:hint="eastAsia"/>
          <w:color w:val="000000"/>
        </w:rPr>
        <w:t>-</w:t>
      </w:r>
      <w:r w:rsidRPr="00FD41CA">
        <w:rPr>
          <w:color w:val="000000"/>
        </w:rPr>
        <w:t>governed firms. The authors interpret their evidence as consistent with agency costs mitigating the benefits to shareholders of corporate tax avoidance. In o</w:t>
      </w:r>
      <w:bookmarkStart w:id="7" w:name="_GoBack"/>
      <w:bookmarkEnd w:id="7"/>
      <w:r w:rsidRPr="00FD41CA">
        <w:rPr>
          <w:color w:val="000000"/>
        </w:rPr>
        <w:t>ther words, the managers’ tax sheltering decisions are related to their ability to divert value, so that in poorly</w:t>
      </w:r>
      <w:r w:rsidR="00FD41CA">
        <w:rPr>
          <w:rFonts w:hint="eastAsia"/>
          <w:color w:val="000000"/>
        </w:rPr>
        <w:t>-</w:t>
      </w:r>
      <w:r w:rsidRPr="00FD41CA">
        <w:rPr>
          <w:color w:val="000000"/>
        </w:rPr>
        <w:t>governed firms, tax sheltering is indicative of a higher likelihood of managerial wealth diversion, and thus on net adds no value.</w:t>
      </w:r>
    </w:p>
    <w:p w:rsidR="00A701F7" w:rsidRPr="00FD41CA" w:rsidRDefault="00A701F7" w:rsidP="001F0251">
      <w:pPr>
        <w:spacing w:line="242" w:lineRule="auto"/>
        <w:ind w:firstLine="420"/>
        <w:rPr>
          <w:color w:val="000000"/>
        </w:rPr>
      </w:pPr>
      <w:r w:rsidRPr="00532275">
        <w:rPr>
          <w:color w:val="000000"/>
        </w:rPr>
        <w:t>Graham and Tucker (2006) investigate</w:t>
      </w:r>
      <w:r w:rsidR="00FD41CA" w:rsidRPr="00532275">
        <w:rPr>
          <w:rFonts w:hint="eastAsia"/>
          <w:color w:val="000000"/>
        </w:rPr>
        <w:t>d</w:t>
      </w:r>
      <w:r w:rsidRPr="00532275">
        <w:rPr>
          <w:color w:val="000000"/>
        </w:rPr>
        <w:t xml:space="preserve"> a sample of 44 firms that received a </w:t>
      </w:r>
      <w:r w:rsidR="00FD41CA" w:rsidRPr="00532275">
        <w:rPr>
          <w:color w:val="000000"/>
        </w:rPr>
        <w:t>notice of deficiency</w:t>
      </w:r>
      <w:r w:rsidRPr="00532275">
        <w:rPr>
          <w:color w:val="000000"/>
        </w:rPr>
        <w:t xml:space="preserve"> from the </w:t>
      </w:r>
      <w:r w:rsidR="006622E8" w:rsidRPr="00532275">
        <w:rPr>
          <w:rFonts w:hint="eastAsia"/>
          <w:color w:val="000000"/>
        </w:rPr>
        <w:t>Internal Revenue Service (</w:t>
      </w:r>
      <w:r w:rsidRPr="00532275">
        <w:rPr>
          <w:color w:val="000000"/>
        </w:rPr>
        <w:t>IRS</w:t>
      </w:r>
      <w:r w:rsidR="006622E8" w:rsidRPr="00532275">
        <w:rPr>
          <w:rFonts w:hint="eastAsia"/>
          <w:color w:val="000000"/>
        </w:rPr>
        <w:t>)</w:t>
      </w:r>
      <w:r w:rsidRPr="00532275">
        <w:rPr>
          <w:color w:val="000000"/>
        </w:rPr>
        <w:t xml:space="preserve"> for their involvement in a tax shelter to determine whether the firm’s tax shelter acted as a non-debt tax shield. They </w:t>
      </w:r>
      <w:r w:rsidR="00FD41CA" w:rsidRPr="00532275">
        <w:rPr>
          <w:rFonts w:hint="eastAsia"/>
          <w:color w:val="000000"/>
        </w:rPr>
        <w:t>found</w:t>
      </w:r>
      <w:r w:rsidRPr="00532275">
        <w:rPr>
          <w:color w:val="000000"/>
        </w:rPr>
        <w:t xml:space="preserve"> that the tax-sheltering firms do appear to carry less debt during the years in which the tax shelter is in place (as well as the years leading up to the shelter years). Graham and Tucker (2006) d</w:t>
      </w:r>
      <w:r w:rsidR="00FD41CA" w:rsidRPr="00532275">
        <w:rPr>
          <w:rFonts w:hint="eastAsia"/>
          <w:color w:val="000000"/>
        </w:rPr>
        <w:t>id</w:t>
      </w:r>
      <w:r w:rsidRPr="00FD41CA">
        <w:rPr>
          <w:color w:val="000000"/>
        </w:rPr>
        <w:t xml:space="preserve"> not, though, investigate the market’s response to news of these shelters.</w:t>
      </w:r>
    </w:p>
    <w:p w:rsidR="00A701F7" w:rsidRPr="00FD41CA" w:rsidRDefault="00A701F7" w:rsidP="001F0251">
      <w:pPr>
        <w:spacing w:line="242" w:lineRule="auto"/>
        <w:ind w:firstLine="420"/>
        <w:rPr>
          <w:color w:val="000000"/>
        </w:rPr>
      </w:pPr>
      <w:r w:rsidRPr="00FD41CA">
        <w:rPr>
          <w:color w:val="000000"/>
        </w:rPr>
        <w:t>Onuma (2011) focuse</w:t>
      </w:r>
      <w:r w:rsidR="00FD41CA">
        <w:rPr>
          <w:rFonts w:hint="eastAsia"/>
          <w:color w:val="000000"/>
        </w:rPr>
        <w:t xml:space="preserve">d </w:t>
      </w:r>
      <w:r w:rsidRPr="00FD41CA">
        <w:rPr>
          <w:color w:val="000000"/>
        </w:rPr>
        <w:t>on 28 examples of companies that disclosed information voluntarily for a capital market about TPT from 2000 to 2010 and clarifie</w:t>
      </w:r>
      <w:r w:rsidR="00FD41CA">
        <w:rPr>
          <w:rFonts w:hint="eastAsia"/>
          <w:color w:val="000000"/>
        </w:rPr>
        <w:t>d</w:t>
      </w:r>
      <w:r w:rsidRPr="00FD41CA">
        <w:rPr>
          <w:color w:val="000000"/>
        </w:rPr>
        <w:t xml:space="preserve"> the reactions of investors in</w:t>
      </w:r>
      <w:r w:rsidR="00FD41CA">
        <w:rPr>
          <w:color w:val="000000"/>
        </w:rPr>
        <w:t xml:space="preserve"> the capital market by an event</w:t>
      </w:r>
      <w:r w:rsidR="00FD41CA">
        <w:rPr>
          <w:rFonts w:hint="eastAsia"/>
          <w:color w:val="000000"/>
        </w:rPr>
        <w:t xml:space="preserve"> </w:t>
      </w:r>
      <w:r w:rsidRPr="00FD41CA">
        <w:rPr>
          <w:color w:val="000000"/>
        </w:rPr>
        <w:t xml:space="preserve">study statistical analysis. Onuma (2011) </w:t>
      </w:r>
      <w:r w:rsidR="00FD41CA">
        <w:rPr>
          <w:rFonts w:hint="eastAsia"/>
          <w:color w:val="000000"/>
        </w:rPr>
        <w:t>found</w:t>
      </w:r>
      <w:r w:rsidR="00FD41CA">
        <w:rPr>
          <w:color w:val="000000"/>
        </w:rPr>
        <w:t xml:space="preserve"> that</w:t>
      </w:r>
      <w:r w:rsidRPr="00FD41CA">
        <w:rPr>
          <w:color w:val="000000"/>
        </w:rPr>
        <w:t xml:space="preserve"> although the reactions are not strong, investors react to CAR from a voluntary information disclosure in a statistically significant manner on the event day and for six business days after.</w:t>
      </w:r>
    </w:p>
    <w:p w:rsidR="00A701F7" w:rsidRPr="00A701F7" w:rsidRDefault="00A701F7" w:rsidP="001F0251">
      <w:pPr>
        <w:ind w:firstLine="420"/>
        <w:rPr>
          <w:color w:val="000000"/>
        </w:rPr>
      </w:pPr>
      <w:r w:rsidRPr="00A701F7">
        <w:rPr>
          <w:color w:val="000000"/>
        </w:rPr>
        <w:lastRenderedPageBreak/>
        <w:t xml:space="preserve">Kato (2011) </w:t>
      </w:r>
      <w:r w:rsidR="001E3794">
        <w:rPr>
          <w:rFonts w:hint="eastAsia"/>
          <w:color w:val="000000"/>
        </w:rPr>
        <w:t>paid</w:t>
      </w:r>
      <w:r w:rsidRPr="00A701F7">
        <w:rPr>
          <w:color w:val="000000"/>
        </w:rPr>
        <w:t xml:space="preserve"> attention to five news reports of TPT being applied to royalty fees</w:t>
      </w:r>
      <w:r w:rsidR="001E3794">
        <w:rPr>
          <w:rFonts w:hint="eastAsia"/>
          <w:color w:val="000000"/>
        </w:rPr>
        <w:t xml:space="preserve"> </w:t>
      </w:r>
      <w:r w:rsidRPr="00A701F7">
        <w:rPr>
          <w:color w:val="000000"/>
        </w:rPr>
        <w:t>of intangibles recognized on the balance sheet.</w:t>
      </w:r>
      <w:r w:rsidR="001E3794">
        <w:rPr>
          <w:rFonts w:hint="eastAsia"/>
          <w:color w:val="000000"/>
        </w:rPr>
        <w:t xml:space="preserve"> </w:t>
      </w:r>
      <w:r w:rsidR="006622E8">
        <w:rPr>
          <w:rFonts w:hint="eastAsia"/>
          <w:color w:val="000000"/>
        </w:rPr>
        <w:t>U</w:t>
      </w:r>
      <w:r w:rsidR="001E3794">
        <w:rPr>
          <w:color w:val="000000"/>
        </w:rPr>
        <w:t>sing the event</w:t>
      </w:r>
      <w:r w:rsidR="001E3794">
        <w:rPr>
          <w:rFonts w:hint="eastAsia"/>
          <w:color w:val="000000"/>
        </w:rPr>
        <w:t xml:space="preserve"> </w:t>
      </w:r>
      <w:r w:rsidRPr="00A701F7">
        <w:rPr>
          <w:color w:val="000000"/>
        </w:rPr>
        <w:t>study methodology from 2004 to 2008</w:t>
      </w:r>
      <w:r w:rsidR="006622E8">
        <w:rPr>
          <w:rFonts w:hint="eastAsia"/>
          <w:color w:val="000000"/>
        </w:rPr>
        <w:t>,</w:t>
      </w:r>
      <w:r w:rsidRPr="00A701F7">
        <w:rPr>
          <w:color w:val="000000"/>
        </w:rPr>
        <w:t xml:space="preserve"> </w:t>
      </w:r>
      <w:r w:rsidR="006622E8">
        <w:rPr>
          <w:rFonts w:hint="eastAsia"/>
          <w:color w:val="000000"/>
        </w:rPr>
        <w:t>Kato (2011)</w:t>
      </w:r>
      <w:r w:rsidRPr="00A701F7">
        <w:rPr>
          <w:color w:val="000000"/>
        </w:rPr>
        <w:t xml:space="preserve"> </w:t>
      </w:r>
      <w:r w:rsidR="001E3794">
        <w:rPr>
          <w:rFonts w:hint="eastAsia"/>
          <w:color w:val="000000"/>
        </w:rPr>
        <w:t>found</w:t>
      </w:r>
      <w:r w:rsidRPr="00A701F7">
        <w:rPr>
          <w:color w:val="000000"/>
        </w:rPr>
        <w:t xml:space="preserve"> a statistically significant negative reaction before a newspaper release about CAR taking place from the</w:t>
      </w:r>
      <w:r w:rsidR="001E3794">
        <w:rPr>
          <w:rFonts w:hint="eastAsia"/>
          <w:color w:val="000000"/>
        </w:rPr>
        <w:t xml:space="preserve"> </w:t>
      </w:r>
      <w:r w:rsidRPr="00A701F7">
        <w:rPr>
          <w:color w:val="000000"/>
        </w:rPr>
        <w:t>day of information disclosure (event day) to the following day.</w:t>
      </w:r>
    </w:p>
    <w:p w:rsidR="00A701F7" w:rsidRPr="00A701F7" w:rsidRDefault="00A701F7" w:rsidP="001F0251">
      <w:pPr>
        <w:ind w:firstLine="420"/>
        <w:rPr>
          <w:color w:val="000000"/>
        </w:rPr>
      </w:pPr>
      <w:r w:rsidRPr="00A701F7">
        <w:rPr>
          <w:color w:val="000000"/>
        </w:rPr>
        <w:t>Therefore, this article</w:t>
      </w:r>
      <w:r w:rsidR="001E3794">
        <w:rPr>
          <w:rFonts w:hint="eastAsia"/>
          <w:color w:val="000000"/>
        </w:rPr>
        <w:t xml:space="preserve"> </w:t>
      </w:r>
      <w:r w:rsidRPr="00A701F7">
        <w:rPr>
          <w:color w:val="000000"/>
        </w:rPr>
        <w:t xml:space="preserve">elaborates the reaction of investors to news reports about the application of TPT, based on Onuma (2011) and Kato (2011). </w:t>
      </w:r>
      <w:r w:rsidR="006622E8">
        <w:rPr>
          <w:color w:val="000000"/>
        </w:rPr>
        <w:t>Basically, while this paper is based on</w:t>
      </w:r>
      <w:r w:rsidR="006622E8" w:rsidRPr="00A701F7">
        <w:rPr>
          <w:color w:val="000000"/>
        </w:rPr>
        <w:t xml:space="preserve"> Onuma (2011)</w:t>
      </w:r>
      <w:r w:rsidR="006622E8">
        <w:rPr>
          <w:rFonts w:hint="eastAsia"/>
          <w:color w:val="000000"/>
        </w:rPr>
        <w:t xml:space="preserve">, </w:t>
      </w:r>
      <w:r w:rsidR="006622E8" w:rsidRPr="00A701F7">
        <w:rPr>
          <w:color w:val="000000"/>
        </w:rPr>
        <w:t>we</w:t>
      </w:r>
      <w:r w:rsidR="006622E8">
        <w:rPr>
          <w:rFonts w:hint="eastAsia"/>
          <w:color w:val="000000"/>
        </w:rPr>
        <w:t xml:space="preserve"> </w:t>
      </w:r>
      <w:r w:rsidR="006622E8" w:rsidRPr="00A701F7">
        <w:rPr>
          <w:color w:val="000000"/>
        </w:rPr>
        <w:t>use a significantly larger sample</w:t>
      </w:r>
      <w:r w:rsidR="006622E8">
        <w:rPr>
          <w:color w:val="000000"/>
        </w:rPr>
        <w:t xml:space="preserve"> than ever</w:t>
      </w:r>
      <w:r w:rsidR="001E3794">
        <w:rPr>
          <w:rFonts w:hint="eastAsia"/>
          <w:color w:val="000000"/>
        </w:rPr>
        <w:t>.</w:t>
      </w:r>
      <w:r w:rsidRPr="00A701F7">
        <w:rPr>
          <w:rStyle w:val="a7"/>
          <w:color w:val="000000"/>
        </w:rPr>
        <w:footnoteReference w:id="9"/>
      </w:r>
    </w:p>
    <w:p w:rsidR="00A701F7" w:rsidRPr="00A701F7" w:rsidRDefault="00A701F7" w:rsidP="0026344E">
      <w:pPr>
        <w:pStyle w:val="1"/>
        <w:keepNext w:val="0"/>
        <w:keepLines w:val="0"/>
        <w:widowControl w:val="0"/>
        <w:suppressAutoHyphens/>
        <w:kinsoku w:val="0"/>
        <w:overflowPunct w:val="0"/>
        <w:autoSpaceDE w:val="0"/>
        <w:autoSpaceDN w:val="0"/>
        <w:spacing w:beforeLines="50" w:afterLines="30" w:line="240" w:lineRule="auto"/>
        <w:ind w:left="0" w:firstLine="0"/>
        <w:textAlignment w:val="baseline"/>
        <w:rPr>
          <w:szCs w:val="21"/>
        </w:rPr>
      </w:pPr>
      <w:r w:rsidRPr="00A701F7">
        <w:rPr>
          <w:szCs w:val="21"/>
        </w:rPr>
        <w:t xml:space="preserve">Influence </w:t>
      </w:r>
      <w:r w:rsidR="001E3794">
        <w:rPr>
          <w:rFonts w:eastAsiaTheme="minorEastAsia" w:hint="eastAsia"/>
          <w:szCs w:val="21"/>
          <w:lang w:eastAsia="zh-CN"/>
        </w:rPr>
        <w:t>on</w:t>
      </w:r>
      <w:r w:rsidRPr="00A701F7">
        <w:rPr>
          <w:szCs w:val="21"/>
        </w:rPr>
        <w:t xml:space="preserve"> the Stock Market of TPT News</w:t>
      </w:r>
    </w:p>
    <w:p w:rsidR="00A701F7" w:rsidRPr="00A701F7" w:rsidRDefault="00A701F7" w:rsidP="001F0251">
      <w:pPr>
        <w:pStyle w:val="2"/>
        <w:suppressAutoHyphens/>
        <w:kinsoku w:val="0"/>
        <w:overflowPunct w:val="0"/>
        <w:spacing w:before="62"/>
        <w:textAlignment w:val="baseline"/>
        <w:rPr>
          <w:b w:val="0"/>
          <w:spacing w:val="2"/>
        </w:rPr>
      </w:pPr>
      <w:r w:rsidRPr="00A701F7">
        <w:t>Details of the Event Study</w:t>
      </w:r>
    </w:p>
    <w:p w:rsidR="00A701F7" w:rsidRPr="00A701F7" w:rsidRDefault="001E3794" w:rsidP="001F0251">
      <w:pPr>
        <w:ind w:firstLine="420"/>
        <w:rPr>
          <w:color w:val="000000"/>
        </w:rPr>
      </w:pPr>
      <w:r>
        <w:rPr>
          <w:color w:val="000000"/>
        </w:rPr>
        <w:t>We use an event</w:t>
      </w:r>
      <w:r>
        <w:rPr>
          <w:rFonts w:hint="eastAsia"/>
          <w:color w:val="000000"/>
        </w:rPr>
        <w:t xml:space="preserve"> </w:t>
      </w:r>
      <w:r w:rsidR="00A701F7" w:rsidRPr="00A701F7">
        <w:rPr>
          <w:color w:val="000000"/>
        </w:rPr>
        <w:t>study methodology to test the market reaction to</w:t>
      </w:r>
      <w:r w:rsidR="00AB0660">
        <w:rPr>
          <w:rFonts w:hint="eastAsia"/>
          <w:color w:val="000000"/>
        </w:rPr>
        <w:t xml:space="preserve"> the</w:t>
      </w:r>
      <w:r w:rsidR="00A701F7" w:rsidRPr="00A701F7">
        <w:rPr>
          <w:color w:val="000000"/>
        </w:rPr>
        <w:t xml:space="preserve"> news that TPT has been applied to a company. </w:t>
      </w:r>
      <w:r w:rsidR="00A701F7" w:rsidRPr="00A701F7">
        <w:rPr>
          <w:color w:val="000000"/>
          <w:spacing w:val="2"/>
        </w:rPr>
        <w:t>We label the day that TPT news appeared in the press as</w:t>
      </w:r>
      <w:r>
        <w:rPr>
          <w:rFonts w:hint="eastAsia"/>
          <w:color w:val="000000"/>
          <w:spacing w:val="2"/>
        </w:rPr>
        <w:t xml:space="preserve"> the</w:t>
      </w:r>
      <w:r w:rsidR="00A701F7" w:rsidRPr="00A701F7">
        <w:rPr>
          <w:color w:val="000000"/>
          <w:spacing w:val="2"/>
        </w:rPr>
        <w:t xml:space="preserve"> event</w:t>
      </w:r>
      <w:r>
        <w:rPr>
          <w:rFonts w:hint="eastAsia"/>
          <w:color w:val="000000"/>
          <w:spacing w:val="2"/>
        </w:rPr>
        <w:t xml:space="preserve"> </w:t>
      </w:r>
      <w:r w:rsidR="00A701F7" w:rsidRPr="00A701F7">
        <w:rPr>
          <w:color w:val="000000"/>
          <w:spacing w:val="2"/>
        </w:rPr>
        <w:t xml:space="preserve">day. </w:t>
      </w:r>
      <w:r w:rsidR="00A701F7" w:rsidRPr="00A701F7">
        <w:rPr>
          <w:color w:val="000000"/>
        </w:rPr>
        <w:t xml:space="preserve">The estimated period is -180-30 days, that is, </w:t>
      </w:r>
      <w:r w:rsidR="001763A5">
        <w:rPr>
          <w:rFonts w:hint="eastAsia"/>
          <w:color w:val="000000"/>
        </w:rPr>
        <w:t xml:space="preserve">the </w:t>
      </w:r>
      <w:r w:rsidR="00A701F7" w:rsidRPr="00A701F7">
        <w:rPr>
          <w:color w:val="000000"/>
        </w:rPr>
        <w:t>150</w:t>
      </w:r>
      <w:r>
        <w:rPr>
          <w:rFonts w:hint="eastAsia"/>
          <w:color w:val="000000"/>
        </w:rPr>
        <w:t xml:space="preserve"> </w:t>
      </w:r>
      <w:r w:rsidR="00A701F7" w:rsidRPr="00A701F7">
        <w:rPr>
          <w:color w:val="000000"/>
        </w:rPr>
        <w:t>days before the event day.</w:t>
      </w:r>
    </w:p>
    <w:p w:rsidR="00A701F7" w:rsidRDefault="00A701F7" w:rsidP="001F0251">
      <w:pPr>
        <w:ind w:firstLine="420"/>
        <w:rPr>
          <w:color w:val="000000"/>
        </w:rPr>
      </w:pPr>
      <w:r w:rsidRPr="00A701F7">
        <w:rPr>
          <w:color w:val="000000"/>
        </w:rPr>
        <w:t xml:space="preserve">News reports regarding TPT were collected from the databases </w:t>
      </w:r>
      <w:r w:rsidR="000349C8">
        <w:rPr>
          <w:color w:val="000000"/>
        </w:rPr>
        <w:t>“</w:t>
      </w:r>
      <w:r w:rsidRPr="00A701F7">
        <w:rPr>
          <w:color w:val="000000"/>
        </w:rPr>
        <w:t xml:space="preserve">Nikkei </w:t>
      </w:r>
      <w:r w:rsidR="000349C8">
        <w:rPr>
          <w:color w:val="000000"/>
        </w:rPr>
        <w:t>Telecom”</w:t>
      </w:r>
      <w:r w:rsidRPr="00A701F7">
        <w:rPr>
          <w:color w:val="000000"/>
        </w:rPr>
        <w:t xml:space="preserve"> (Nikkei Media Marketing), </w:t>
      </w:r>
      <w:r w:rsidR="000349C8">
        <w:rPr>
          <w:color w:val="000000"/>
        </w:rPr>
        <w:t>“</w:t>
      </w:r>
      <w:r w:rsidRPr="00A701F7">
        <w:rPr>
          <w:color w:val="000000"/>
        </w:rPr>
        <w:t>Yomidasu</w:t>
      </w:r>
      <w:r w:rsidR="000349C8">
        <w:rPr>
          <w:color w:val="000000"/>
        </w:rPr>
        <w:t>”</w:t>
      </w:r>
      <w:r w:rsidRPr="00A701F7">
        <w:rPr>
          <w:color w:val="000000"/>
        </w:rPr>
        <w:t xml:space="preserve"> (Yomiuri Newspaper), and </w:t>
      </w:r>
      <w:r w:rsidR="000349C8">
        <w:rPr>
          <w:color w:val="000000"/>
        </w:rPr>
        <w:t>“</w:t>
      </w:r>
      <w:r w:rsidRPr="00A701F7">
        <w:rPr>
          <w:color w:val="000000"/>
        </w:rPr>
        <w:t>Asahi-</w:t>
      </w:r>
      <w:r w:rsidR="000349C8" w:rsidRPr="00A701F7">
        <w:rPr>
          <w:color w:val="000000"/>
        </w:rPr>
        <w:t xml:space="preserve">Kikuzo </w:t>
      </w:r>
      <w:r w:rsidRPr="00A701F7">
        <w:rPr>
          <w:color w:val="000000"/>
        </w:rPr>
        <w:t>II</w:t>
      </w:r>
      <w:r w:rsidR="000349C8">
        <w:rPr>
          <w:color w:val="000000"/>
        </w:rPr>
        <w:t>”</w:t>
      </w:r>
      <w:r w:rsidRPr="00A701F7">
        <w:rPr>
          <w:color w:val="000000"/>
        </w:rPr>
        <w:t xml:space="preserve"> (Asahi Newspaper).</w:t>
      </w:r>
      <w:r w:rsidR="000349C8">
        <w:rPr>
          <w:rFonts w:hint="eastAsia"/>
          <w:color w:val="000000"/>
        </w:rPr>
        <w:t xml:space="preserve"> </w:t>
      </w:r>
      <w:r w:rsidRPr="00A701F7">
        <w:rPr>
          <w:color w:val="000000"/>
        </w:rPr>
        <w:t>We count as one case if our searches turned up hits</w:t>
      </w:r>
      <w:r w:rsidR="000349C8">
        <w:rPr>
          <w:rFonts w:hint="eastAsia"/>
          <w:color w:val="000000"/>
        </w:rPr>
        <w:t xml:space="preserve"> </w:t>
      </w:r>
      <w:r w:rsidRPr="00A701F7">
        <w:rPr>
          <w:color w:val="000000"/>
        </w:rPr>
        <w:t xml:space="preserve">regarding TPT in all three databases. </w:t>
      </w:r>
      <w:r w:rsidR="000349C8">
        <w:rPr>
          <w:rFonts w:hint="eastAsia"/>
          <w:color w:val="000000"/>
        </w:rPr>
        <w:t>A</w:t>
      </w:r>
      <w:r w:rsidRPr="00A701F7">
        <w:rPr>
          <w:color w:val="000000"/>
        </w:rPr>
        <w:t>fter the TPT enforcement of 1986, we chose 51 of 78 cases (those for which we could get stock price data) that included news of TPT being applied. Finally, we excluded one company from the analysis because that company no long exists and was unlisted from the stock market at the time of the news release,</w:t>
      </w:r>
      <w:r w:rsidR="000349C8">
        <w:rPr>
          <w:rFonts w:hint="eastAsia"/>
          <w:color w:val="000000"/>
        </w:rPr>
        <w:t xml:space="preserve"> </w:t>
      </w:r>
      <w:r w:rsidRPr="00A701F7">
        <w:rPr>
          <w:color w:val="000000"/>
        </w:rPr>
        <w:t>giving a set of 50 cases for analysis.</w:t>
      </w:r>
    </w:p>
    <w:p w:rsidR="00AB0660" w:rsidRPr="00A701F7" w:rsidRDefault="00AB0660" w:rsidP="001F0251">
      <w:pPr>
        <w:ind w:firstLine="420"/>
        <w:rPr>
          <w:color w:val="000000"/>
        </w:rPr>
      </w:pPr>
      <w:r>
        <w:rPr>
          <w:rFonts w:hint="eastAsia"/>
          <w:color w:val="000000"/>
        </w:rPr>
        <w:t>To test the market reaction to the TPT news</w:t>
      </w:r>
      <w:r w:rsidRPr="00A701F7">
        <w:rPr>
          <w:color w:val="000000"/>
        </w:rPr>
        <w:t>, we use the three-factor models about stocks proposed by Fama and French</w:t>
      </w:r>
      <w:r>
        <w:rPr>
          <w:rFonts w:hint="eastAsia"/>
          <w:color w:val="000000"/>
        </w:rPr>
        <w:t xml:space="preserve"> </w:t>
      </w:r>
      <w:r w:rsidRPr="00A701F7">
        <w:rPr>
          <w:color w:val="000000"/>
        </w:rPr>
        <w:t>(1992) (</w:t>
      </w:r>
      <w:r>
        <w:rPr>
          <w:rFonts w:hint="eastAsia"/>
          <w:color w:val="000000"/>
        </w:rPr>
        <w:t xml:space="preserve">see </w:t>
      </w:r>
      <w:r w:rsidRPr="00A701F7">
        <w:rPr>
          <w:color w:val="000000"/>
        </w:rPr>
        <w:t>Eq</w:t>
      </w:r>
      <w:r>
        <w:rPr>
          <w:rFonts w:hint="eastAsia"/>
          <w:color w:val="000000"/>
        </w:rPr>
        <w:t>uation</w:t>
      </w:r>
      <w:r>
        <w:rPr>
          <w:color w:val="000000"/>
        </w:rPr>
        <w:t xml:space="preserve"> (1))</w:t>
      </w:r>
      <w:r>
        <w:rPr>
          <w:rFonts w:hint="eastAsia"/>
          <w:color w:val="000000"/>
        </w:rPr>
        <w:t>:</w:t>
      </w:r>
    </w:p>
    <w:p w:rsidR="000349C8" w:rsidRDefault="00147011" w:rsidP="001F0251">
      <w:pPr>
        <w:ind w:firstLineChars="0" w:firstLine="0"/>
        <w:jc w:val="right"/>
      </w:pPr>
      <w:r w:rsidRPr="00EA50CA">
        <w:rPr>
          <w:position w:val="-14"/>
        </w:rPr>
        <w:object w:dxaOrig="51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7.25pt;height:18.75pt" o:ole="">
            <v:imagedata r:id="rId11" o:title=""/>
          </v:shape>
          <o:OLEObject Type="Embed" ProgID="Equation.DSMT4" ShapeID="_x0000_i1026" DrawAspect="Content" ObjectID="_1486562536" r:id="rId12"/>
        </w:object>
      </w:r>
      <w:r w:rsidR="000349C8">
        <w:rPr>
          <w:rFonts w:hint="eastAsia"/>
        </w:rPr>
        <w:t xml:space="preserve">  </w:t>
      </w:r>
      <w:r w:rsidR="00B64628">
        <w:rPr>
          <w:rFonts w:hint="eastAsia"/>
        </w:rPr>
        <w:t xml:space="preserve">     </w:t>
      </w:r>
      <w:r w:rsidR="000349C8">
        <w:rPr>
          <w:rFonts w:hint="eastAsia"/>
        </w:rPr>
        <w:t xml:space="preserve">        (1)</w:t>
      </w:r>
    </w:p>
    <w:p w:rsidR="007E752E" w:rsidRPr="007E752E" w:rsidRDefault="00AB0660" w:rsidP="001F0251">
      <w:pPr>
        <w:ind w:firstLineChars="0" w:firstLine="0"/>
        <w:rPr>
          <w:color w:val="000000"/>
        </w:rPr>
      </w:pPr>
      <w:r w:rsidRPr="007E752E">
        <w:rPr>
          <w:color w:val="000000"/>
        </w:rPr>
        <w:t xml:space="preserve">where </w:t>
      </w:r>
      <w:r w:rsidR="00A701F7" w:rsidRPr="007E752E">
        <w:rPr>
          <w:i/>
          <w:color w:val="000000"/>
        </w:rPr>
        <w:t>R</w:t>
      </w:r>
      <w:r w:rsidR="00A701F7" w:rsidRPr="007E752E">
        <w:rPr>
          <w:i/>
          <w:color w:val="000000"/>
          <w:vertAlign w:val="subscript"/>
        </w:rPr>
        <w:t>i</w:t>
      </w:r>
      <w:r w:rsidR="00A701F7" w:rsidRPr="007E752E">
        <w:rPr>
          <w:color w:val="000000"/>
          <w:vertAlign w:val="subscript"/>
        </w:rPr>
        <w:t>,</w:t>
      </w:r>
      <w:r w:rsidR="00A701F7" w:rsidRPr="007E752E">
        <w:rPr>
          <w:i/>
          <w:color w:val="000000"/>
          <w:vertAlign w:val="subscript"/>
        </w:rPr>
        <w:t>t</w:t>
      </w:r>
      <w:r w:rsidR="00A701F7" w:rsidRPr="007E752E">
        <w:rPr>
          <w:color w:val="000000"/>
        </w:rPr>
        <w:t xml:space="preserve"> is the return of stock </w:t>
      </w:r>
      <w:r w:rsidR="00A701F7" w:rsidRPr="007E752E">
        <w:rPr>
          <w:i/>
          <w:color w:val="000000"/>
        </w:rPr>
        <w:t xml:space="preserve">i </w:t>
      </w:r>
      <w:r w:rsidR="00A701F7" w:rsidRPr="007E752E">
        <w:rPr>
          <w:color w:val="000000"/>
        </w:rPr>
        <w:t xml:space="preserve">on day </w:t>
      </w:r>
      <w:r w:rsidR="00A701F7" w:rsidRPr="007E752E">
        <w:rPr>
          <w:i/>
          <w:color w:val="000000"/>
        </w:rPr>
        <w:t>t</w:t>
      </w:r>
      <w:r w:rsidR="00A0430B" w:rsidRPr="007E752E">
        <w:rPr>
          <w:rFonts w:hint="eastAsia"/>
          <w:color w:val="000000"/>
        </w:rPr>
        <w:t>;</w:t>
      </w:r>
      <w:r w:rsidR="00A701F7" w:rsidRPr="007E752E">
        <w:rPr>
          <w:color w:val="000000"/>
        </w:rPr>
        <w:t xml:space="preserve"> </w:t>
      </w:r>
      <w:r w:rsidR="00A701F7" w:rsidRPr="007E752E">
        <w:rPr>
          <w:i/>
          <w:color w:val="000000"/>
        </w:rPr>
        <w:t>R</w:t>
      </w:r>
      <w:r w:rsidR="00A701F7" w:rsidRPr="007E752E">
        <w:rPr>
          <w:i/>
          <w:color w:val="000000"/>
          <w:vertAlign w:val="subscript"/>
        </w:rPr>
        <w:t>f</w:t>
      </w:r>
      <w:r w:rsidR="00A701F7" w:rsidRPr="007E752E">
        <w:rPr>
          <w:color w:val="000000"/>
          <w:vertAlign w:val="subscript"/>
        </w:rPr>
        <w:t>,</w:t>
      </w:r>
      <w:r w:rsidR="00A701F7" w:rsidRPr="007E752E">
        <w:rPr>
          <w:i/>
          <w:color w:val="000000"/>
          <w:vertAlign w:val="subscript"/>
        </w:rPr>
        <w:t>t</w:t>
      </w:r>
      <w:r w:rsidR="007E752E" w:rsidRPr="007E752E">
        <w:rPr>
          <w:color w:val="000000"/>
        </w:rPr>
        <w:t xml:space="preserve"> is the risk</w:t>
      </w:r>
      <w:r w:rsidR="007E752E" w:rsidRPr="007E752E">
        <w:rPr>
          <w:rFonts w:hint="eastAsia"/>
          <w:color w:val="000000"/>
        </w:rPr>
        <w:t>-</w:t>
      </w:r>
      <w:r w:rsidR="00A701F7" w:rsidRPr="007E752E">
        <w:rPr>
          <w:color w:val="000000"/>
        </w:rPr>
        <w:t>free rate</w:t>
      </w:r>
      <w:r w:rsidR="00A0430B" w:rsidRPr="007E752E">
        <w:rPr>
          <w:rFonts w:hint="eastAsia"/>
          <w:color w:val="000000"/>
        </w:rPr>
        <w:t xml:space="preserve">; </w:t>
      </w:r>
      <w:r w:rsidR="00A701F7" w:rsidRPr="007E752E">
        <w:rPr>
          <w:i/>
          <w:color w:val="000000"/>
        </w:rPr>
        <w:t>R</w:t>
      </w:r>
      <w:r w:rsidR="00A701F7" w:rsidRPr="007E752E">
        <w:rPr>
          <w:i/>
          <w:color w:val="000000"/>
          <w:vertAlign w:val="subscript"/>
        </w:rPr>
        <w:t>m</w:t>
      </w:r>
      <w:r w:rsidR="00A701F7" w:rsidRPr="007E752E">
        <w:rPr>
          <w:color w:val="000000"/>
          <w:vertAlign w:val="subscript"/>
        </w:rPr>
        <w:t>,</w:t>
      </w:r>
      <w:r w:rsidR="00A701F7" w:rsidRPr="007E752E">
        <w:rPr>
          <w:i/>
          <w:color w:val="000000"/>
          <w:vertAlign w:val="subscript"/>
        </w:rPr>
        <w:t>t</w:t>
      </w:r>
      <w:r w:rsidR="00A701F7" w:rsidRPr="007E752E">
        <w:rPr>
          <w:color w:val="000000"/>
        </w:rPr>
        <w:t xml:space="preserve"> represents the return on the</w:t>
      </w:r>
      <w:r w:rsidR="00A0430B" w:rsidRPr="007E752E">
        <w:rPr>
          <w:rFonts w:hint="eastAsia"/>
          <w:color w:val="000000"/>
        </w:rPr>
        <w:t xml:space="preserve"> </w:t>
      </w:r>
      <w:r w:rsidR="00A701F7" w:rsidRPr="007E752E">
        <w:rPr>
          <w:color w:val="000000"/>
        </w:rPr>
        <w:t xml:space="preserve">Tokyo Stock Market portfolio on day </w:t>
      </w:r>
      <w:r w:rsidR="00A701F7" w:rsidRPr="007E752E">
        <w:rPr>
          <w:i/>
          <w:color w:val="000000"/>
        </w:rPr>
        <w:t>t</w:t>
      </w:r>
      <w:r w:rsidR="00A0430B" w:rsidRPr="007E752E">
        <w:rPr>
          <w:rFonts w:hint="eastAsia"/>
          <w:color w:val="000000"/>
        </w:rPr>
        <w:t>;</w:t>
      </w:r>
      <w:r w:rsidR="00A701F7" w:rsidRPr="007E752E">
        <w:rPr>
          <w:color w:val="000000"/>
        </w:rPr>
        <w:t xml:space="preserve"> </w:t>
      </w:r>
      <w:r w:rsidR="00A701F7" w:rsidRPr="007E752E">
        <w:rPr>
          <w:i/>
          <w:color w:val="000000"/>
        </w:rPr>
        <w:t>SMB</w:t>
      </w:r>
      <w:r w:rsidR="00A701F7" w:rsidRPr="007E752E">
        <w:rPr>
          <w:color w:val="000000"/>
        </w:rPr>
        <w:t xml:space="preserve"> is the “Small Minus Big” market capitalization</w:t>
      </w:r>
      <w:r w:rsidR="00A0430B" w:rsidRPr="007E752E">
        <w:rPr>
          <w:rFonts w:hint="eastAsia"/>
          <w:color w:val="000000"/>
        </w:rPr>
        <w:t xml:space="preserve"> </w:t>
      </w:r>
      <w:r w:rsidR="00A701F7" w:rsidRPr="007E752E">
        <w:rPr>
          <w:color w:val="000000"/>
        </w:rPr>
        <w:t>risk factor</w:t>
      </w:r>
      <w:r w:rsidR="00A0430B" w:rsidRPr="007E752E">
        <w:rPr>
          <w:rFonts w:hint="eastAsia"/>
          <w:color w:val="000000"/>
        </w:rPr>
        <w:t>;</w:t>
      </w:r>
      <w:r w:rsidR="00A701F7" w:rsidRPr="007E752E">
        <w:rPr>
          <w:color w:val="000000"/>
        </w:rPr>
        <w:t xml:space="preserve"> and </w:t>
      </w:r>
      <w:r w:rsidR="00A701F7" w:rsidRPr="007E752E">
        <w:rPr>
          <w:i/>
          <w:color w:val="000000"/>
        </w:rPr>
        <w:t>HML</w:t>
      </w:r>
      <w:r w:rsidR="00A701F7" w:rsidRPr="007E752E">
        <w:rPr>
          <w:color w:val="000000"/>
        </w:rPr>
        <w:t xml:space="preserve"> is the “High Minus Low” value premium</w:t>
      </w:r>
      <w:r w:rsidR="00A0430B" w:rsidRPr="007E752E">
        <w:rPr>
          <w:rFonts w:hint="eastAsia"/>
          <w:color w:val="000000"/>
        </w:rPr>
        <w:t xml:space="preserve"> </w:t>
      </w:r>
      <w:r w:rsidR="00A701F7" w:rsidRPr="007E752E">
        <w:rPr>
          <w:color w:val="000000"/>
        </w:rPr>
        <w:t xml:space="preserve">risk factor. In this model, </w:t>
      </w:r>
      <w:r w:rsidR="00A701F7" w:rsidRPr="007E752E">
        <w:rPr>
          <w:i/>
          <w:color w:val="000000"/>
        </w:rPr>
        <w:t>SMB</w:t>
      </w:r>
      <w:r w:rsidR="00A701F7" w:rsidRPr="007E752E">
        <w:rPr>
          <w:color w:val="000000"/>
        </w:rPr>
        <w:t xml:space="preserve"> measures the additional return</w:t>
      </w:r>
      <w:r w:rsidR="00A0430B" w:rsidRPr="007E752E">
        <w:rPr>
          <w:rFonts w:hint="eastAsia"/>
          <w:color w:val="000000"/>
        </w:rPr>
        <w:t xml:space="preserve"> </w:t>
      </w:r>
      <w:r w:rsidR="00AA47C3">
        <w:rPr>
          <w:rFonts w:hint="eastAsia"/>
          <w:color w:val="000000"/>
        </w:rPr>
        <w:t xml:space="preserve">that </w:t>
      </w:r>
      <w:r w:rsidR="00A701F7" w:rsidRPr="007E752E">
        <w:rPr>
          <w:color w:val="000000"/>
        </w:rPr>
        <w:t>investors have historically received by investing in stocks of</w:t>
      </w:r>
      <w:r w:rsidR="00A0430B" w:rsidRPr="007E752E">
        <w:rPr>
          <w:rFonts w:hint="eastAsia"/>
          <w:color w:val="000000"/>
        </w:rPr>
        <w:t xml:space="preserve"> </w:t>
      </w:r>
      <w:r w:rsidR="00A701F7" w:rsidRPr="007E752E">
        <w:rPr>
          <w:color w:val="000000"/>
        </w:rPr>
        <w:t>companies with relatively small market capitalization. This</w:t>
      </w:r>
      <w:r w:rsidR="00A0430B" w:rsidRPr="007E752E">
        <w:rPr>
          <w:rFonts w:hint="eastAsia"/>
          <w:color w:val="000000"/>
        </w:rPr>
        <w:t xml:space="preserve"> </w:t>
      </w:r>
      <w:r w:rsidR="00A701F7" w:rsidRPr="007E752E">
        <w:rPr>
          <w:color w:val="000000"/>
        </w:rPr>
        <w:t>additional return is often refe</w:t>
      </w:r>
      <w:r w:rsidR="00A0430B" w:rsidRPr="007E752E">
        <w:rPr>
          <w:color w:val="000000"/>
        </w:rPr>
        <w:t>rred to as the “size premium</w:t>
      </w:r>
      <w:r w:rsidR="00A701F7" w:rsidRPr="007E752E">
        <w:rPr>
          <w:color w:val="000000"/>
        </w:rPr>
        <w:t>”</w:t>
      </w:r>
      <w:r w:rsidR="00A0430B" w:rsidRPr="007E752E">
        <w:rPr>
          <w:rFonts w:hint="eastAsia"/>
          <w:color w:val="000000"/>
        </w:rPr>
        <w:t xml:space="preserve">. </w:t>
      </w:r>
      <w:r w:rsidR="00A701F7" w:rsidRPr="007E752E">
        <w:rPr>
          <w:i/>
          <w:color w:val="000000"/>
        </w:rPr>
        <w:t>HML</w:t>
      </w:r>
      <w:r w:rsidR="00A701F7" w:rsidRPr="007E752E">
        <w:rPr>
          <w:color w:val="000000"/>
        </w:rPr>
        <w:t xml:space="preserve"> has been</w:t>
      </w:r>
      <w:r w:rsidR="00A0430B" w:rsidRPr="007E752E">
        <w:rPr>
          <w:rFonts w:hint="eastAsia"/>
          <w:color w:val="000000"/>
        </w:rPr>
        <w:t xml:space="preserve"> </w:t>
      </w:r>
      <w:r w:rsidR="00A701F7" w:rsidRPr="007E752E">
        <w:rPr>
          <w:color w:val="000000"/>
        </w:rPr>
        <w:t>constructed to measure the “value premium” provided to</w:t>
      </w:r>
      <w:r w:rsidR="00A0430B" w:rsidRPr="007E752E">
        <w:rPr>
          <w:rFonts w:hint="eastAsia"/>
          <w:color w:val="000000"/>
        </w:rPr>
        <w:t xml:space="preserve"> </w:t>
      </w:r>
      <w:r w:rsidR="00A701F7" w:rsidRPr="007E752E">
        <w:rPr>
          <w:color w:val="000000"/>
        </w:rPr>
        <w:t>investor</w:t>
      </w:r>
      <w:r w:rsidR="00A0430B" w:rsidRPr="007E752E">
        <w:rPr>
          <w:rFonts w:hint="eastAsia"/>
          <w:color w:val="000000"/>
        </w:rPr>
        <w:t>s</w:t>
      </w:r>
      <w:r w:rsidR="00A701F7" w:rsidRPr="007E752E">
        <w:rPr>
          <w:color w:val="000000"/>
        </w:rPr>
        <w:t xml:space="preserve"> for investing in companies with high book-to-market</w:t>
      </w:r>
      <w:r w:rsidR="00A0430B" w:rsidRPr="007E752E">
        <w:rPr>
          <w:rFonts w:hint="eastAsia"/>
          <w:color w:val="000000"/>
        </w:rPr>
        <w:t xml:space="preserve"> </w:t>
      </w:r>
      <w:r w:rsidR="00A701F7" w:rsidRPr="007E752E">
        <w:rPr>
          <w:color w:val="000000"/>
        </w:rPr>
        <w:t>values (essentially the value placed on the company by</w:t>
      </w:r>
      <w:r w:rsidR="00A0430B" w:rsidRPr="007E752E">
        <w:rPr>
          <w:rFonts w:hint="eastAsia"/>
          <w:color w:val="000000"/>
        </w:rPr>
        <w:t xml:space="preserve"> </w:t>
      </w:r>
      <w:r w:rsidR="00A701F7" w:rsidRPr="007E752E">
        <w:rPr>
          <w:color w:val="000000"/>
        </w:rPr>
        <w:t>accountants as a ratio relative to the value the public markets</w:t>
      </w:r>
      <w:r w:rsidR="00A0430B" w:rsidRPr="007E752E">
        <w:rPr>
          <w:rFonts w:hint="eastAsia"/>
          <w:color w:val="000000"/>
        </w:rPr>
        <w:t xml:space="preserve"> </w:t>
      </w:r>
      <w:r w:rsidR="00A701F7" w:rsidRPr="007E752E">
        <w:rPr>
          <w:color w:val="000000"/>
        </w:rPr>
        <w:t>placed on the company).</w:t>
      </w:r>
      <w:r w:rsidR="00A0430B" w:rsidRPr="007E752E">
        <w:rPr>
          <w:rFonts w:hint="eastAsia"/>
          <w:color w:val="000000"/>
        </w:rPr>
        <w:t xml:space="preserve"> </w:t>
      </w:r>
      <w:r w:rsidR="00A701F7" w:rsidRPr="007E752E">
        <w:rPr>
          <w:color w:val="000000"/>
        </w:rPr>
        <w:t>The</w:t>
      </w:r>
      <w:r w:rsidR="00A0430B" w:rsidRPr="007E752E">
        <w:rPr>
          <w:rFonts w:hint="eastAsia"/>
          <w:color w:val="000000"/>
        </w:rPr>
        <w:t xml:space="preserve"> </w:t>
      </w:r>
      <w:r w:rsidR="00A701F7" w:rsidRPr="007E752E">
        <w:rPr>
          <w:color w:val="000000"/>
        </w:rPr>
        <w:t>key point of the model is that it allows investors to weight</w:t>
      </w:r>
      <w:r w:rsidR="00A0430B" w:rsidRPr="007E752E">
        <w:rPr>
          <w:rFonts w:hint="eastAsia"/>
          <w:color w:val="000000"/>
        </w:rPr>
        <w:t xml:space="preserve"> </w:t>
      </w:r>
      <w:r w:rsidR="00A701F7" w:rsidRPr="007E752E">
        <w:rPr>
          <w:color w:val="000000"/>
        </w:rPr>
        <w:t>their portfolios so that they have greater or lesser exposure</w:t>
      </w:r>
      <w:r w:rsidR="00A0430B" w:rsidRPr="007E752E">
        <w:rPr>
          <w:rFonts w:hint="eastAsia"/>
          <w:color w:val="000000"/>
        </w:rPr>
        <w:t xml:space="preserve"> </w:t>
      </w:r>
      <w:r w:rsidR="00A701F7" w:rsidRPr="007E752E">
        <w:rPr>
          <w:color w:val="000000"/>
        </w:rPr>
        <w:t>to each of the specific risk factors, and therefore can target</w:t>
      </w:r>
      <w:r w:rsidR="00A0430B" w:rsidRPr="007E752E">
        <w:rPr>
          <w:rFonts w:hint="eastAsia"/>
          <w:color w:val="000000"/>
        </w:rPr>
        <w:t xml:space="preserve"> </w:t>
      </w:r>
      <w:r w:rsidR="00A701F7" w:rsidRPr="007E752E">
        <w:rPr>
          <w:color w:val="000000"/>
        </w:rPr>
        <w:t>more precisely different levels of expected return</w:t>
      </w:r>
      <w:r w:rsidR="00147011">
        <w:rPr>
          <w:rFonts w:hint="eastAsia"/>
          <w:color w:val="000000"/>
        </w:rPr>
        <w:t>;</w:t>
      </w:r>
      <w:r w:rsidR="00A701F7" w:rsidRPr="007E752E">
        <w:rPr>
          <w:color w:val="000000"/>
        </w:rPr>
        <w:t xml:space="preserve"> </w:t>
      </w:r>
      <w:r w:rsidR="00C95EA0">
        <w:rPr>
          <w:rFonts w:hint="eastAsia"/>
          <w:i/>
          <w:color w:val="000000"/>
        </w:rPr>
        <w:t>a</w:t>
      </w:r>
      <w:r w:rsidR="00A701F7" w:rsidRPr="007E752E">
        <w:rPr>
          <w:i/>
          <w:color w:val="000000"/>
          <w:vertAlign w:val="subscript"/>
        </w:rPr>
        <w:t>i</w:t>
      </w:r>
      <w:r w:rsidR="00A0430B" w:rsidRPr="007E752E">
        <w:rPr>
          <w:rFonts w:hint="eastAsia"/>
          <w:color w:val="000000"/>
        </w:rPr>
        <w:t xml:space="preserve">, </w:t>
      </w:r>
      <w:r w:rsidR="00C95EA0">
        <w:rPr>
          <w:rFonts w:hint="eastAsia"/>
          <w:i/>
          <w:color w:val="000000"/>
        </w:rPr>
        <w:t>b</w:t>
      </w:r>
      <w:r w:rsidR="00A701F7" w:rsidRPr="007E752E">
        <w:rPr>
          <w:i/>
          <w:color w:val="000000"/>
          <w:vertAlign w:val="subscript"/>
        </w:rPr>
        <w:t>i</w:t>
      </w:r>
      <w:r w:rsidR="00A701F7" w:rsidRPr="007E752E">
        <w:rPr>
          <w:color w:val="000000"/>
        </w:rPr>
        <w:t xml:space="preserve">, </w:t>
      </w:r>
      <w:r w:rsidR="00A701F7" w:rsidRPr="007E752E">
        <w:rPr>
          <w:i/>
          <w:color w:val="000000"/>
        </w:rPr>
        <w:t>s</w:t>
      </w:r>
      <w:r w:rsidR="00A701F7" w:rsidRPr="007E752E">
        <w:rPr>
          <w:i/>
          <w:color w:val="000000"/>
          <w:vertAlign w:val="subscript"/>
        </w:rPr>
        <w:t>i</w:t>
      </w:r>
      <w:r w:rsidR="00A701F7" w:rsidRPr="007E752E">
        <w:rPr>
          <w:color w:val="000000"/>
        </w:rPr>
        <w:t xml:space="preserve">, and </w:t>
      </w:r>
      <w:r w:rsidR="00A701F7" w:rsidRPr="007E752E">
        <w:rPr>
          <w:i/>
          <w:color w:val="000000"/>
        </w:rPr>
        <w:t>h</w:t>
      </w:r>
      <w:r w:rsidR="00A701F7" w:rsidRPr="007E752E">
        <w:rPr>
          <w:i/>
          <w:color w:val="000000"/>
          <w:vertAlign w:val="subscript"/>
        </w:rPr>
        <w:t>i</w:t>
      </w:r>
      <w:r w:rsidR="00A0430B" w:rsidRPr="007E752E">
        <w:rPr>
          <w:rFonts w:hint="eastAsia"/>
          <w:color w:val="000000"/>
        </w:rPr>
        <w:t xml:space="preserve"> </w:t>
      </w:r>
      <w:r w:rsidR="00A701F7" w:rsidRPr="007E752E">
        <w:rPr>
          <w:color w:val="000000"/>
        </w:rPr>
        <w:t>stand for the intercept and slope parameters,</w:t>
      </w:r>
      <w:r w:rsidR="00A0430B" w:rsidRPr="007E752E">
        <w:rPr>
          <w:rFonts w:hint="eastAsia"/>
          <w:color w:val="000000"/>
        </w:rPr>
        <w:t xml:space="preserve"> </w:t>
      </w:r>
      <w:r w:rsidR="00A701F7" w:rsidRPr="007E752E">
        <w:rPr>
          <w:color w:val="000000"/>
        </w:rPr>
        <w:t xml:space="preserve">respectively, for firm </w:t>
      </w:r>
      <w:r w:rsidR="00A701F7" w:rsidRPr="007E752E">
        <w:rPr>
          <w:i/>
          <w:color w:val="000000"/>
        </w:rPr>
        <w:t>i</w:t>
      </w:r>
      <w:r w:rsidR="00A701F7" w:rsidRPr="007E752E">
        <w:rPr>
          <w:color w:val="000000"/>
        </w:rPr>
        <w:t xml:space="preserve">; and </w:t>
      </w:r>
      <w:r w:rsidR="00C95EA0">
        <w:rPr>
          <w:rFonts w:hint="eastAsia"/>
          <w:i/>
          <w:color w:val="000000"/>
        </w:rPr>
        <w:t>e</w:t>
      </w:r>
      <w:r w:rsidR="00A701F7" w:rsidRPr="007E752E">
        <w:rPr>
          <w:i/>
          <w:color w:val="000000"/>
          <w:vertAlign w:val="subscript"/>
        </w:rPr>
        <w:t>i</w:t>
      </w:r>
      <w:r w:rsidR="00A701F7" w:rsidRPr="007E752E">
        <w:rPr>
          <w:color w:val="000000"/>
          <w:vertAlign w:val="subscript"/>
        </w:rPr>
        <w:t>,</w:t>
      </w:r>
      <w:r w:rsidR="00A701F7" w:rsidRPr="007E752E">
        <w:rPr>
          <w:i/>
          <w:color w:val="000000"/>
          <w:vertAlign w:val="subscript"/>
        </w:rPr>
        <w:t>t</w:t>
      </w:r>
      <w:r w:rsidR="00A701F7" w:rsidRPr="007E752E">
        <w:rPr>
          <w:color w:val="000000"/>
        </w:rPr>
        <w:t xml:space="preserve"> symbolizes a disturbance term for stock </w:t>
      </w:r>
      <w:r w:rsidR="00A701F7" w:rsidRPr="007E752E">
        <w:rPr>
          <w:i/>
          <w:color w:val="000000"/>
        </w:rPr>
        <w:t>i</w:t>
      </w:r>
      <w:r w:rsidR="00A701F7" w:rsidRPr="007E752E">
        <w:rPr>
          <w:color w:val="000000"/>
        </w:rPr>
        <w:t xml:space="preserve"> on day </w:t>
      </w:r>
      <w:r w:rsidR="00A701F7" w:rsidRPr="007E752E">
        <w:rPr>
          <w:i/>
          <w:color w:val="000000"/>
        </w:rPr>
        <w:t>t</w:t>
      </w:r>
      <w:r w:rsidR="00A701F7" w:rsidRPr="007E752E">
        <w:rPr>
          <w:color w:val="000000"/>
        </w:rPr>
        <w:t xml:space="preserve">, with the usual ordinary least squares (OLS) properties (Sharma </w:t>
      </w:r>
      <w:r w:rsidR="00A0430B" w:rsidRPr="007E752E">
        <w:rPr>
          <w:rFonts w:hint="eastAsia"/>
          <w:color w:val="000000"/>
        </w:rPr>
        <w:t>&amp;</w:t>
      </w:r>
      <w:r w:rsidR="00A0430B" w:rsidRPr="007E752E">
        <w:rPr>
          <w:color w:val="000000"/>
        </w:rPr>
        <w:t xml:space="preserve"> Mehta</w:t>
      </w:r>
      <w:r w:rsidR="00A0430B" w:rsidRPr="007E752E">
        <w:rPr>
          <w:rFonts w:hint="eastAsia"/>
          <w:color w:val="000000"/>
        </w:rPr>
        <w:t xml:space="preserve">, </w:t>
      </w:r>
      <w:r w:rsidR="00A701F7" w:rsidRPr="007E752E">
        <w:rPr>
          <w:color w:val="000000"/>
        </w:rPr>
        <w:t>2013).</w:t>
      </w:r>
      <w:r w:rsidR="00A0430B" w:rsidRPr="007E752E">
        <w:rPr>
          <w:rFonts w:hint="eastAsia"/>
          <w:color w:val="000000"/>
        </w:rPr>
        <w:t xml:space="preserve"> </w:t>
      </w:r>
      <w:r w:rsidR="00A701F7" w:rsidRPr="007E752E">
        <w:rPr>
          <w:color w:val="000000"/>
        </w:rPr>
        <w:t xml:space="preserve">In order to obtain AR for firm </w:t>
      </w:r>
      <w:r w:rsidR="00A701F7" w:rsidRPr="007E752E">
        <w:rPr>
          <w:i/>
          <w:color w:val="000000"/>
        </w:rPr>
        <w:t>i</w:t>
      </w:r>
      <w:r w:rsidR="00A701F7" w:rsidRPr="007E752E">
        <w:rPr>
          <w:color w:val="000000"/>
        </w:rPr>
        <w:t xml:space="preserve"> on day </w:t>
      </w:r>
      <w:r w:rsidR="00A701F7" w:rsidRPr="007E752E">
        <w:rPr>
          <w:i/>
          <w:color w:val="000000"/>
        </w:rPr>
        <w:t>t</w:t>
      </w:r>
      <w:r w:rsidR="00A701F7" w:rsidRPr="007E752E">
        <w:rPr>
          <w:color w:val="000000"/>
        </w:rPr>
        <w:t>, we perform regression estimates</w:t>
      </w:r>
      <w:r w:rsidR="00A0430B" w:rsidRPr="007E752E">
        <w:rPr>
          <w:rFonts w:hint="eastAsia"/>
          <w:color w:val="000000"/>
        </w:rPr>
        <w:t xml:space="preserve"> </w:t>
      </w:r>
      <w:r w:rsidR="00A701F7" w:rsidRPr="007E752E">
        <w:rPr>
          <w:color w:val="000000"/>
        </w:rPr>
        <w:t xml:space="preserve">of </w:t>
      </w:r>
      <w:r w:rsidR="00C95EA0">
        <w:rPr>
          <w:rFonts w:hint="eastAsia"/>
          <w:i/>
          <w:color w:val="000000"/>
        </w:rPr>
        <w:t>a</w:t>
      </w:r>
      <w:r w:rsidR="00A0430B" w:rsidRPr="007E752E">
        <w:rPr>
          <w:i/>
          <w:color w:val="000000"/>
          <w:vertAlign w:val="subscript"/>
        </w:rPr>
        <w:t>i</w:t>
      </w:r>
      <w:r w:rsidR="00A0430B" w:rsidRPr="007E752E">
        <w:rPr>
          <w:rFonts w:hint="eastAsia"/>
          <w:color w:val="000000"/>
        </w:rPr>
        <w:t xml:space="preserve">, </w:t>
      </w:r>
      <w:r w:rsidR="00C95EA0">
        <w:rPr>
          <w:rFonts w:hint="eastAsia"/>
          <w:i/>
          <w:color w:val="000000"/>
        </w:rPr>
        <w:t>b</w:t>
      </w:r>
      <w:r w:rsidR="00A0430B" w:rsidRPr="007E752E">
        <w:rPr>
          <w:i/>
          <w:color w:val="000000"/>
          <w:vertAlign w:val="subscript"/>
        </w:rPr>
        <w:t>i</w:t>
      </w:r>
      <w:r w:rsidR="00A0430B" w:rsidRPr="007E752E">
        <w:rPr>
          <w:color w:val="000000"/>
        </w:rPr>
        <w:t xml:space="preserve">, </w:t>
      </w:r>
      <w:r w:rsidR="00A0430B" w:rsidRPr="007E752E">
        <w:rPr>
          <w:i/>
          <w:color w:val="000000"/>
        </w:rPr>
        <w:t>s</w:t>
      </w:r>
      <w:r w:rsidR="00A0430B" w:rsidRPr="007E752E">
        <w:rPr>
          <w:i/>
          <w:color w:val="000000"/>
          <w:vertAlign w:val="subscript"/>
        </w:rPr>
        <w:t>i</w:t>
      </w:r>
      <w:r w:rsidR="00A0430B" w:rsidRPr="007E752E">
        <w:rPr>
          <w:color w:val="000000"/>
        </w:rPr>
        <w:t xml:space="preserve">, and </w:t>
      </w:r>
      <w:r w:rsidR="00A0430B" w:rsidRPr="007E752E">
        <w:rPr>
          <w:i/>
          <w:color w:val="000000"/>
        </w:rPr>
        <w:t>h</w:t>
      </w:r>
      <w:r w:rsidR="00A0430B" w:rsidRPr="007E752E">
        <w:rPr>
          <w:i/>
          <w:color w:val="000000"/>
          <w:vertAlign w:val="subscript"/>
        </w:rPr>
        <w:t>i</w:t>
      </w:r>
      <w:r w:rsidR="00A701F7" w:rsidRPr="007E752E">
        <w:rPr>
          <w:color w:val="000000"/>
        </w:rPr>
        <w:t xml:space="preserve"> individually using </w:t>
      </w:r>
      <w:r w:rsidR="00A0430B" w:rsidRPr="007E752E">
        <w:rPr>
          <w:rFonts w:hint="eastAsia"/>
          <w:color w:val="000000"/>
        </w:rPr>
        <w:t xml:space="preserve">Equation </w:t>
      </w:r>
      <w:r w:rsidR="00A701F7" w:rsidRPr="007E752E">
        <w:rPr>
          <w:color w:val="000000"/>
        </w:rPr>
        <w:t xml:space="preserve">(1) and then apply the estimates to </w:t>
      </w:r>
      <w:r w:rsidR="00A0430B" w:rsidRPr="007E752E">
        <w:rPr>
          <w:rFonts w:hint="eastAsia"/>
          <w:color w:val="000000"/>
        </w:rPr>
        <w:t xml:space="preserve">Equation </w:t>
      </w:r>
      <w:r w:rsidR="00A701F7" w:rsidRPr="007E752E">
        <w:rPr>
          <w:color w:val="000000"/>
        </w:rPr>
        <w:t>(2) for each company</w:t>
      </w:r>
      <w:r w:rsidR="007E752E" w:rsidRPr="007E752E">
        <w:rPr>
          <w:rFonts w:hint="eastAsia"/>
          <w:color w:val="000000"/>
        </w:rPr>
        <w:t>:</w:t>
      </w:r>
    </w:p>
    <w:p w:rsidR="007E752E" w:rsidRPr="00A701F7" w:rsidRDefault="00147011" w:rsidP="001F0251">
      <w:pPr>
        <w:ind w:firstLineChars="0" w:firstLine="0"/>
        <w:jc w:val="right"/>
        <w:rPr>
          <w:color w:val="000000"/>
          <w:spacing w:val="2"/>
        </w:rPr>
      </w:pPr>
      <w:r w:rsidRPr="00EA50CA">
        <w:rPr>
          <w:position w:val="-14"/>
        </w:rPr>
        <w:object w:dxaOrig="5340" w:dyaOrig="420">
          <v:shape id="_x0000_i1027" type="#_x0000_t75" style="width:267pt;height:21pt" o:ole="">
            <v:imagedata r:id="rId13" o:title=""/>
          </v:shape>
          <o:OLEObject Type="Embed" ProgID="Equation.DSMT4" ShapeID="_x0000_i1027" DrawAspect="Content" ObjectID="_1486562537" r:id="rId14"/>
        </w:object>
      </w:r>
      <w:r w:rsidR="007E752E">
        <w:rPr>
          <w:rFonts w:hint="eastAsia"/>
        </w:rPr>
        <w:t xml:space="preserve">              (2)</w:t>
      </w:r>
    </w:p>
    <w:p w:rsidR="00A701F7" w:rsidRPr="007E752E" w:rsidRDefault="00A701F7" w:rsidP="001F0251">
      <w:pPr>
        <w:ind w:firstLine="420"/>
        <w:rPr>
          <w:color w:val="000000"/>
        </w:rPr>
      </w:pPr>
      <w:r w:rsidRPr="007E752E">
        <w:rPr>
          <w:color w:val="000000"/>
        </w:rPr>
        <w:lastRenderedPageBreak/>
        <w:t>In addition to the estimation of average values shown in Figure 3 for a 21-day window, from 10 days before to 10 days after the event day, we examine the 10-day window surrounding the press report.</w:t>
      </w:r>
      <w:r w:rsidR="00A0430B" w:rsidRPr="007E752E">
        <w:rPr>
          <w:rFonts w:hint="eastAsia"/>
          <w:color w:val="000000"/>
        </w:rPr>
        <w:t xml:space="preserve"> </w:t>
      </w:r>
      <w:r w:rsidRPr="007E752E">
        <w:rPr>
          <w:color w:val="000000"/>
        </w:rPr>
        <w:t>These daily AR</w:t>
      </w:r>
      <w:r w:rsidR="007D270E" w:rsidRPr="007E752E">
        <w:rPr>
          <w:rFonts w:hint="eastAsia"/>
          <w:color w:val="000000"/>
        </w:rPr>
        <w:t>s</w:t>
      </w:r>
      <w:r w:rsidRPr="007E752E">
        <w:rPr>
          <w:color w:val="000000"/>
        </w:rPr>
        <w:t xml:space="preserve"> are then summed over the desired time period</w:t>
      </w:r>
      <w:r w:rsidR="007D270E" w:rsidRPr="007E752E">
        <w:rPr>
          <w:rFonts w:hint="eastAsia"/>
          <w:color w:val="000000"/>
        </w:rPr>
        <w:t xml:space="preserve"> </w:t>
      </w:r>
      <w:r w:rsidRPr="007E752E">
        <w:rPr>
          <w:color w:val="000000"/>
        </w:rPr>
        <w:t>to calculate CAR.</w:t>
      </w:r>
      <w:r w:rsidR="007D270E" w:rsidRPr="007E752E">
        <w:rPr>
          <w:rFonts w:hint="eastAsia"/>
          <w:color w:val="000000"/>
        </w:rPr>
        <w:t xml:space="preserve"> </w:t>
      </w:r>
      <w:r w:rsidRPr="007E752E">
        <w:rPr>
          <w:color w:val="000000"/>
        </w:rPr>
        <w:t xml:space="preserve">In particular, for the period from </w:t>
      </w:r>
      <w:r w:rsidRPr="007E752E">
        <w:rPr>
          <w:i/>
          <w:color w:val="000000"/>
        </w:rPr>
        <w:t>t</w:t>
      </w:r>
      <w:r w:rsidRPr="007E752E">
        <w:rPr>
          <w:color w:val="000000"/>
          <w:vertAlign w:val="subscript"/>
        </w:rPr>
        <w:t>1</w:t>
      </w:r>
      <w:r w:rsidR="007D270E" w:rsidRPr="007E752E">
        <w:rPr>
          <w:rFonts w:hint="eastAsia"/>
          <w:color w:val="000000"/>
        </w:rPr>
        <w:t xml:space="preserve"> </w:t>
      </w:r>
      <w:r w:rsidRPr="007E752E">
        <w:rPr>
          <w:color w:val="000000"/>
        </w:rPr>
        <w:t xml:space="preserve">to </w:t>
      </w:r>
      <w:r w:rsidRPr="007E752E">
        <w:rPr>
          <w:i/>
          <w:color w:val="000000"/>
        </w:rPr>
        <w:t>t</w:t>
      </w:r>
      <w:r w:rsidRPr="007E752E">
        <w:rPr>
          <w:color w:val="000000"/>
          <w:vertAlign w:val="subscript"/>
        </w:rPr>
        <w:t>2</w:t>
      </w:r>
      <w:r w:rsidRPr="007E752E">
        <w:rPr>
          <w:color w:val="000000"/>
        </w:rPr>
        <w:t>, CAR is calculated as follows:</w:t>
      </w:r>
    </w:p>
    <w:p w:rsidR="007D270E" w:rsidRDefault="007D270E" w:rsidP="001F0251">
      <w:pPr>
        <w:adjustRightInd w:val="0"/>
        <w:snapToGrid w:val="0"/>
        <w:ind w:firstLineChars="0" w:firstLine="0"/>
        <w:jc w:val="right"/>
      </w:pPr>
      <w:r w:rsidRPr="00EA50CA">
        <w:rPr>
          <w:position w:val="-32"/>
        </w:rPr>
        <w:object w:dxaOrig="1600" w:dyaOrig="740">
          <v:shape id="_x0000_i1025" type="#_x0000_t75" style="width:80.25pt;height:36.75pt" o:ole="">
            <v:imagedata r:id="rId15" o:title=""/>
          </v:shape>
          <o:OLEObject Type="Embed" ProgID="Equation.DSMT4" ShapeID="_x0000_i1025" DrawAspect="Content" ObjectID="_1486562538" r:id="rId16"/>
        </w:object>
      </w:r>
      <w:r>
        <w:rPr>
          <w:rFonts w:hint="eastAsia"/>
        </w:rPr>
        <w:t xml:space="preserve">                                   (3)</w:t>
      </w:r>
    </w:p>
    <w:p w:rsidR="00A701F7" w:rsidRDefault="00A701F7" w:rsidP="001F0251">
      <w:pPr>
        <w:pStyle w:val="afa"/>
        <w:adjustRightInd/>
        <w:jc w:val="center"/>
        <w:rPr>
          <w:rFonts w:eastAsiaTheme="minorEastAsia" w:cs="Times New Roman"/>
          <w:lang w:eastAsia="zh-CN"/>
        </w:rPr>
      </w:pPr>
      <w:r w:rsidRPr="00A701F7">
        <w:rPr>
          <w:rFonts w:cs="Times New Roman"/>
          <w:noProof/>
          <w:lang w:eastAsia="zh-CN"/>
        </w:rPr>
        <w:drawing>
          <wp:inline distT="0" distB="0" distL="0" distR="0">
            <wp:extent cx="5615940" cy="933450"/>
            <wp:effectExtent l="19050" t="0" r="22860" b="0"/>
            <wp:docPr id="5" name="オブジェクト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D270E" w:rsidRPr="007D270E" w:rsidRDefault="007D270E" w:rsidP="001F0251">
      <w:pPr>
        <w:pStyle w:val="afa"/>
        <w:adjustRightInd/>
        <w:snapToGrid w:val="0"/>
        <w:spacing w:line="288" w:lineRule="auto"/>
        <w:jc w:val="center"/>
        <w:rPr>
          <w:rFonts w:eastAsiaTheme="minorEastAsia" w:cs="Times New Roman"/>
          <w:sz w:val="18"/>
          <w:lang w:eastAsia="zh-CN"/>
        </w:rPr>
      </w:pPr>
      <w:r w:rsidRPr="007D270E">
        <w:rPr>
          <w:rFonts w:eastAsiaTheme="minorEastAsia" w:cs="Times New Roman" w:hint="eastAsia"/>
          <w:i/>
          <w:sz w:val="18"/>
          <w:lang w:eastAsia="zh-CN"/>
        </w:rPr>
        <w:t>Figure 3</w:t>
      </w:r>
      <w:r w:rsidRPr="007D270E">
        <w:rPr>
          <w:rFonts w:eastAsiaTheme="minorEastAsia" w:cs="Times New Roman" w:hint="eastAsia"/>
          <w:sz w:val="18"/>
          <w:lang w:eastAsia="zh-CN"/>
        </w:rPr>
        <w:t xml:space="preserve">. </w:t>
      </w:r>
      <w:r w:rsidR="006622E8">
        <w:rPr>
          <w:rFonts w:eastAsiaTheme="minorEastAsia" w:cs="Times New Roman" w:hint="eastAsia"/>
          <w:sz w:val="18"/>
          <w:lang w:eastAsia="zh-CN"/>
        </w:rPr>
        <w:t>Transition of AR</w:t>
      </w:r>
      <w:r w:rsidRPr="007D270E">
        <w:rPr>
          <w:rFonts w:eastAsiaTheme="minorEastAsia" w:cs="Times New Roman" w:hint="eastAsia"/>
          <w:sz w:val="18"/>
          <w:lang w:eastAsia="zh-CN"/>
        </w:rPr>
        <w:t>.</w:t>
      </w:r>
    </w:p>
    <w:p w:rsidR="00A701F7" w:rsidRPr="00A701F7" w:rsidRDefault="00A701F7" w:rsidP="001F0251">
      <w:pPr>
        <w:pStyle w:val="2"/>
        <w:suppressAutoHyphens/>
        <w:kinsoku w:val="0"/>
        <w:overflowPunct w:val="0"/>
        <w:spacing w:before="62"/>
        <w:textAlignment w:val="baseline"/>
        <w:rPr>
          <w:b w:val="0"/>
        </w:rPr>
      </w:pPr>
      <w:r w:rsidRPr="00A701F7">
        <w:t>Results for AR and CAR</w:t>
      </w:r>
    </w:p>
    <w:p w:rsidR="00A701F7" w:rsidRPr="00195C37" w:rsidRDefault="00A701F7" w:rsidP="001F0251">
      <w:pPr>
        <w:ind w:firstLine="412"/>
        <w:rPr>
          <w:bCs/>
          <w:color w:val="000000"/>
          <w:spacing w:val="-2"/>
        </w:rPr>
      </w:pPr>
      <w:r w:rsidRPr="00195C37">
        <w:rPr>
          <w:spacing w:val="-2"/>
        </w:rPr>
        <w:t>As shown in Figure 3, negative reactions continued</w:t>
      </w:r>
      <w:r w:rsidR="007D270E" w:rsidRPr="00195C37">
        <w:rPr>
          <w:rFonts w:hint="eastAsia"/>
          <w:spacing w:val="-2"/>
        </w:rPr>
        <w:t xml:space="preserve"> </w:t>
      </w:r>
      <w:r w:rsidRPr="00195C37">
        <w:rPr>
          <w:spacing w:val="-2"/>
        </w:rPr>
        <w:t>through the period from day -3 to day +4 of the newspaper report day. To measure whether this result is</w:t>
      </w:r>
      <w:r w:rsidR="007D270E" w:rsidRPr="00195C37">
        <w:rPr>
          <w:rFonts w:hint="eastAsia"/>
          <w:spacing w:val="-2"/>
        </w:rPr>
        <w:t xml:space="preserve"> </w:t>
      </w:r>
      <w:r w:rsidRPr="00195C37">
        <w:rPr>
          <w:spacing w:val="-2"/>
        </w:rPr>
        <w:t>statistically</w:t>
      </w:r>
      <w:r w:rsidR="007D270E" w:rsidRPr="00195C37">
        <w:rPr>
          <w:rFonts w:hint="eastAsia"/>
          <w:spacing w:val="-2"/>
        </w:rPr>
        <w:t xml:space="preserve"> </w:t>
      </w:r>
      <w:r w:rsidRPr="00195C37">
        <w:rPr>
          <w:spacing w:val="-2"/>
        </w:rPr>
        <w:t>meaningful, we conduct</w:t>
      </w:r>
      <w:r w:rsidR="007D270E" w:rsidRPr="00195C37">
        <w:rPr>
          <w:rFonts w:hint="eastAsia"/>
          <w:spacing w:val="-2"/>
        </w:rPr>
        <w:t xml:space="preserve"> </w:t>
      </w:r>
      <w:r w:rsidRPr="00195C37">
        <w:rPr>
          <w:spacing w:val="-2"/>
        </w:rPr>
        <w:t xml:space="preserve">a </w:t>
      </w:r>
      <w:r w:rsidRPr="00195C37">
        <w:rPr>
          <w:i/>
          <w:spacing w:val="-2"/>
        </w:rPr>
        <w:t>t</w:t>
      </w:r>
      <w:r w:rsidRPr="00195C37">
        <w:rPr>
          <w:spacing w:val="-2"/>
        </w:rPr>
        <w:t xml:space="preserve">-test and a non-parametric </w:t>
      </w:r>
      <w:hyperlink r:id="rId18" w:tooltip="Wilcoxon signed-rank testの意味" w:history="1">
        <w:r w:rsidRPr="00195C37">
          <w:rPr>
            <w:spacing w:val="-2"/>
          </w:rPr>
          <w:t xml:space="preserve">Wilcoxon signed-rank test </w:t>
        </w:r>
      </w:hyperlink>
      <w:r w:rsidRPr="00195C37">
        <w:rPr>
          <w:spacing w:val="-2"/>
        </w:rPr>
        <w:t>(</w:t>
      </w:r>
      <w:r w:rsidRPr="00195C37">
        <w:rPr>
          <w:i/>
          <w:spacing w:val="-2"/>
        </w:rPr>
        <w:t>z</w:t>
      </w:r>
      <w:r w:rsidRPr="00195C37">
        <w:rPr>
          <w:spacing w:val="-2"/>
        </w:rPr>
        <w:t xml:space="preserve">-test). From Table 1, the market shows a statistically significantly negative reaction for 10 days, and especially, shows a significantly negative reaction at the </w:t>
      </w:r>
      <w:r w:rsidR="007D270E" w:rsidRPr="00195C37">
        <w:rPr>
          <w:rFonts w:hint="eastAsia"/>
          <w:spacing w:val="-2"/>
        </w:rPr>
        <w:t xml:space="preserve">level of </w:t>
      </w:r>
      <w:r w:rsidRPr="00195C37">
        <w:rPr>
          <w:spacing w:val="-2"/>
        </w:rPr>
        <w:t>5%</w:t>
      </w:r>
      <w:r w:rsidRPr="00195C37">
        <w:rPr>
          <w:bCs/>
          <w:color w:val="000000"/>
          <w:spacing w:val="-2"/>
        </w:rPr>
        <w:t xml:space="preserve"> on day -3</w:t>
      </w:r>
      <w:r w:rsidR="007D270E" w:rsidRPr="00195C37">
        <w:rPr>
          <w:rFonts w:hint="eastAsia"/>
          <w:bCs/>
          <w:color w:val="000000"/>
          <w:spacing w:val="-2"/>
        </w:rPr>
        <w:t xml:space="preserve"> </w:t>
      </w:r>
      <w:r w:rsidRPr="00195C37">
        <w:rPr>
          <w:spacing w:val="-2"/>
        </w:rPr>
        <w:t>and</w:t>
      </w:r>
      <w:r w:rsidR="007D270E" w:rsidRPr="00195C37">
        <w:rPr>
          <w:rFonts w:hint="eastAsia"/>
          <w:spacing w:val="-2"/>
        </w:rPr>
        <w:t xml:space="preserve"> </w:t>
      </w:r>
      <w:r w:rsidRPr="00195C37">
        <w:rPr>
          <w:spacing w:val="-2"/>
        </w:rPr>
        <w:t>day -2 relative to event</w:t>
      </w:r>
      <w:r w:rsidR="007D270E" w:rsidRPr="00195C37">
        <w:rPr>
          <w:rFonts w:hint="eastAsia"/>
          <w:spacing w:val="-2"/>
        </w:rPr>
        <w:t xml:space="preserve"> </w:t>
      </w:r>
      <w:r w:rsidRPr="00195C37">
        <w:rPr>
          <w:spacing w:val="-2"/>
        </w:rPr>
        <w:t>day. After event</w:t>
      </w:r>
      <w:r w:rsidR="007D270E" w:rsidRPr="00195C37">
        <w:rPr>
          <w:rFonts w:hint="eastAsia"/>
          <w:spacing w:val="-2"/>
        </w:rPr>
        <w:t xml:space="preserve"> </w:t>
      </w:r>
      <w:r w:rsidRPr="00195C37">
        <w:rPr>
          <w:spacing w:val="-2"/>
        </w:rPr>
        <w:t xml:space="preserve">day, day +2 shows a significantly negative reaction at the </w:t>
      </w:r>
      <w:r w:rsidR="007D270E" w:rsidRPr="00195C37">
        <w:rPr>
          <w:rFonts w:hint="eastAsia"/>
          <w:spacing w:val="-2"/>
        </w:rPr>
        <w:t xml:space="preserve">level of </w:t>
      </w:r>
      <w:r w:rsidRPr="00195C37">
        <w:rPr>
          <w:spacing w:val="-2"/>
        </w:rPr>
        <w:t>5%</w:t>
      </w:r>
      <w:r w:rsidRPr="00195C37">
        <w:rPr>
          <w:bCs/>
          <w:color w:val="000000"/>
          <w:spacing w:val="-2"/>
        </w:rPr>
        <w:t>.</w:t>
      </w:r>
    </w:p>
    <w:p w:rsidR="00A701F7" w:rsidRPr="007D270E" w:rsidRDefault="00A701F7" w:rsidP="001F0251">
      <w:pPr>
        <w:adjustRightInd w:val="0"/>
        <w:snapToGrid w:val="0"/>
        <w:ind w:firstLineChars="0" w:firstLine="0"/>
        <w:jc w:val="left"/>
        <w:rPr>
          <w:sz w:val="10"/>
        </w:rPr>
      </w:pPr>
      <w:bookmarkStart w:id="8" w:name="OLE_LINK8"/>
      <w:bookmarkStart w:id="9" w:name="OLE_LINK9"/>
    </w:p>
    <w:bookmarkEnd w:id="8"/>
    <w:bookmarkEnd w:id="9"/>
    <w:p w:rsidR="00A701F7" w:rsidRPr="00A701F7" w:rsidRDefault="00A701F7" w:rsidP="001F0251">
      <w:pPr>
        <w:pStyle w:val="aff"/>
        <w:wordWrap/>
        <w:adjustRightInd/>
        <w:jc w:val="both"/>
        <w:rPr>
          <w:rFonts w:eastAsiaTheme="minorEastAsia" w:cs="Times New Roman"/>
          <w:b w:val="0"/>
          <w:lang w:eastAsia="zh-CN"/>
        </w:rPr>
      </w:pPr>
      <w:r w:rsidRPr="00A701F7">
        <w:rPr>
          <w:rFonts w:cs="Times New Roman"/>
          <w:b w:val="0"/>
        </w:rPr>
        <w:t>Table 1</w:t>
      </w:r>
    </w:p>
    <w:p w:rsidR="00A701F7" w:rsidRPr="00A701F7" w:rsidRDefault="00A701F7" w:rsidP="001F0251">
      <w:pPr>
        <w:pStyle w:val="aff"/>
        <w:wordWrap/>
        <w:adjustRightInd/>
        <w:jc w:val="both"/>
        <w:rPr>
          <w:rFonts w:cs="Times New Roman"/>
          <w:b w:val="0"/>
          <w:i/>
        </w:rPr>
      </w:pPr>
      <w:r w:rsidRPr="00A701F7">
        <w:rPr>
          <w:rFonts w:cs="Times New Roman"/>
          <w:b w:val="0"/>
          <w:i/>
        </w:rPr>
        <w:t>Result of AR Test</w:t>
      </w:r>
    </w:p>
    <w:tbl>
      <w:tblPr>
        <w:tblStyle w:val="13"/>
        <w:tblW w:w="9412" w:type="dxa"/>
        <w:jc w:val="center"/>
        <w:tblLayout w:type="fixed"/>
        <w:tblCellMar>
          <w:left w:w="28" w:type="dxa"/>
          <w:right w:w="28" w:type="dxa"/>
        </w:tblCellMar>
        <w:tblLook w:val="04A0"/>
      </w:tblPr>
      <w:tblGrid>
        <w:gridCol w:w="1882"/>
        <w:gridCol w:w="1882"/>
        <w:gridCol w:w="1883"/>
        <w:gridCol w:w="1882"/>
        <w:gridCol w:w="1883"/>
      </w:tblGrid>
      <w:tr w:rsidR="00A701F7" w:rsidRPr="00A701F7" w:rsidTr="00864BEA">
        <w:trPr>
          <w:cnfStyle w:val="100000000000"/>
          <w:trHeight w:val="270"/>
          <w:jc w:val="center"/>
        </w:trPr>
        <w:tc>
          <w:tcPr>
            <w:cnfStyle w:val="001000000000"/>
            <w:tcW w:w="1882" w:type="dxa"/>
            <w:tcBorders>
              <w:top w:val="single" w:sz="12" w:space="0" w:color="000000" w:themeColor="text1"/>
              <w:bottom w:val="single" w:sz="4" w:space="0" w:color="000000" w:themeColor="text1"/>
            </w:tcBorders>
            <w:shd w:val="clear" w:color="auto" w:fill="auto"/>
            <w:noWrap/>
            <w:vAlign w:val="center"/>
            <w:hideMark/>
          </w:tcPr>
          <w:p w:rsidR="00A701F7" w:rsidRPr="00A701F7" w:rsidRDefault="00A701F7" w:rsidP="001F0251">
            <w:pPr>
              <w:adjustRightInd w:val="0"/>
              <w:snapToGrid w:val="0"/>
              <w:ind w:firstLineChars="0" w:firstLine="0"/>
              <w:rPr>
                <w:b w:val="0"/>
                <w:bCs w:val="0"/>
                <w:sz w:val="18"/>
                <w:szCs w:val="18"/>
              </w:rPr>
            </w:pPr>
            <w:r w:rsidRPr="00A701F7">
              <w:rPr>
                <w:b w:val="0"/>
                <w:sz w:val="18"/>
                <w:szCs w:val="18"/>
              </w:rPr>
              <w:t>AR</w:t>
            </w:r>
          </w:p>
        </w:tc>
        <w:tc>
          <w:tcPr>
            <w:tcW w:w="1882" w:type="dxa"/>
            <w:tcBorders>
              <w:top w:val="single" w:sz="12" w:space="0" w:color="000000" w:themeColor="text1"/>
              <w:bottom w:val="single" w:sz="4" w:space="0" w:color="000000" w:themeColor="text1"/>
            </w:tcBorders>
            <w:shd w:val="clear" w:color="auto" w:fill="auto"/>
            <w:noWrap/>
            <w:vAlign w:val="center"/>
            <w:hideMark/>
          </w:tcPr>
          <w:p w:rsidR="00A701F7" w:rsidRPr="007D270E" w:rsidRDefault="007D270E" w:rsidP="001F0251">
            <w:pPr>
              <w:adjustRightInd w:val="0"/>
              <w:snapToGrid w:val="0"/>
              <w:ind w:firstLineChars="0" w:firstLine="0"/>
              <w:cnfStyle w:val="100000000000"/>
              <w:rPr>
                <w:b w:val="0"/>
                <w:bCs w:val="0"/>
                <w:i/>
                <w:sz w:val="18"/>
                <w:szCs w:val="18"/>
              </w:rPr>
            </w:pPr>
            <w:r w:rsidRPr="007D270E">
              <w:rPr>
                <w:b w:val="0"/>
                <w:i/>
                <w:sz w:val="18"/>
                <w:szCs w:val="18"/>
              </w:rPr>
              <w:t>N</w:t>
            </w:r>
          </w:p>
        </w:tc>
        <w:tc>
          <w:tcPr>
            <w:tcW w:w="1883" w:type="dxa"/>
            <w:tcBorders>
              <w:top w:val="single" w:sz="12" w:space="0" w:color="000000" w:themeColor="text1"/>
              <w:bottom w:val="single" w:sz="4" w:space="0" w:color="000000" w:themeColor="text1"/>
            </w:tcBorders>
            <w:shd w:val="clear" w:color="auto" w:fill="auto"/>
            <w:noWrap/>
            <w:vAlign w:val="center"/>
            <w:hideMark/>
          </w:tcPr>
          <w:p w:rsidR="00A701F7" w:rsidRPr="00A701F7" w:rsidRDefault="00A701F7" w:rsidP="001F0251">
            <w:pPr>
              <w:adjustRightInd w:val="0"/>
              <w:snapToGrid w:val="0"/>
              <w:ind w:firstLineChars="0" w:firstLine="0"/>
              <w:cnfStyle w:val="100000000000"/>
              <w:rPr>
                <w:b w:val="0"/>
                <w:bCs w:val="0"/>
                <w:sz w:val="18"/>
                <w:szCs w:val="18"/>
              </w:rPr>
            </w:pPr>
            <w:r w:rsidRPr="00A701F7">
              <w:rPr>
                <w:b w:val="0"/>
                <w:sz w:val="18"/>
                <w:szCs w:val="18"/>
              </w:rPr>
              <w:t>Mean</w:t>
            </w:r>
          </w:p>
        </w:tc>
        <w:tc>
          <w:tcPr>
            <w:tcW w:w="1882" w:type="dxa"/>
            <w:tcBorders>
              <w:top w:val="single" w:sz="12" w:space="0" w:color="000000" w:themeColor="text1"/>
              <w:bottom w:val="single" w:sz="4" w:space="0" w:color="000000" w:themeColor="text1"/>
            </w:tcBorders>
            <w:shd w:val="clear" w:color="auto" w:fill="auto"/>
            <w:noWrap/>
            <w:vAlign w:val="center"/>
            <w:hideMark/>
          </w:tcPr>
          <w:p w:rsidR="00A701F7" w:rsidRPr="00A701F7" w:rsidRDefault="00A701F7" w:rsidP="001F0251">
            <w:pPr>
              <w:adjustRightInd w:val="0"/>
              <w:snapToGrid w:val="0"/>
              <w:ind w:firstLineChars="0" w:firstLine="0"/>
              <w:cnfStyle w:val="100000000000"/>
              <w:rPr>
                <w:b w:val="0"/>
                <w:bCs w:val="0"/>
                <w:sz w:val="18"/>
                <w:szCs w:val="18"/>
                <w:lang w:eastAsia="zh-CN"/>
              </w:rPr>
            </w:pPr>
            <w:r w:rsidRPr="007D270E">
              <w:rPr>
                <w:b w:val="0"/>
                <w:i/>
                <w:sz w:val="18"/>
                <w:szCs w:val="18"/>
              </w:rPr>
              <w:t>t</w:t>
            </w:r>
            <w:r w:rsidRPr="00A701F7">
              <w:rPr>
                <w:b w:val="0"/>
                <w:sz w:val="18"/>
                <w:szCs w:val="18"/>
              </w:rPr>
              <w:t>-statistic</w:t>
            </w:r>
          </w:p>
        </w:tc>
        <w:tc>
          <w:tcPr>
            <w:tcW w:w="1883" w:type="dxa"/>
            <w:tcBorders>
              <w:top w:val="single" w:sz="12" w:space="0" w:color="000000" w:themeColor="text1"/>
              <w:bottom w:val="single" w:sz="4" w:space="0" w:color="000000" w:themeColor="text1"/>
            </w:tcBorders>
            <w:shd w:val="clear" w:color="auto" w:fill="auto"/>
            <w:noWrap/>
            <w:vAlign w:val="center"/>
            <w:hideMark/>
          </w:tcPr>
          <w:p w:rsidR="00A701F7" w:rsidRPr="00A701F7" w:rsidRDefault="00A701F7" w:rsidP="001F0251">
            <w:pPr>
              <w:adjustRightInd w:val="0"/>
              <w:snapToGrid w:val="0"/>
              <w:ind w:firstLineChars="0" w:firstLine="0"/>
              <w:cnfStyle w:val="100000000000"/>
              <w:rPr>
                <w:b w:val="0"/>
                <w:bCs w:val="0"/>
                <w:sz w:val="18"/>
                <w:szCs w:val="18"/>
                <w:lang w:eastAsia="zh-CN"/>
              </w:rPr>
            </w:pPr>
            <w:r w:rsidRPr="007D270E">
              <w:rPr>
                <w:b w:val="0"/>
                <w:i/>
                <w:sz w:val="18"/>
                <w:szCs w:val="18"/>
              </w:rPr>
              <w:t>z</w:t>
            </w:r>
            <w:r w:rsidRPr="00A701F7">
              <w:rPr>
                <w:b w:val="0"/>
                <w:sz w:val="18"/>
                <w:szCs w:val="18"/>
              </w:rPr>
              <w:t>-statistic</w:t>
            </w:r>
          </w:p>
        </w:tc>
      </w:tr>
      <w:tr w:rsidR="00A701F7" w:rsidRPr="00A701F7" w:rsidTr="00864BEA">
        <w:trPr>
          <w:cnfStyle w:val="000000100000"/>
          <w:trHeight w:val="270"/>
          <w:jc w:val="center"/>
        </w:trPr>
        <w:tc>
          <w:tcPr>
            <w:cnfStyle w:val="001000000000"/>
            <w:tcW w:w="1882" w:type="dxa"/>
            <w:tcBorders>
              <w:top w:val="single" w:sz="4" w:space="0" w:color="000000" w:themeColor="text1"/>
              <w:bottom w:val="nil"/>
            </w:tcBorders>
            <w:shd w:val="clear" w:color="auto" w:fill="auto"/>
            <w:noWrap/>
            <w:vAlign w:val="center"/>
            <w:hideMark/>
          </w:tcPr>
          <w:p w:rsidR="00A701F7" w:rsidRPr="00864BEA" w:rsidRDefault="00A701F7" w:rsidP="001F0251">
            <w:pPr>
              <w:tabs>
                <w:tab w:val="decimal" w:pos="255"/>
              </w:tabs>
              <w:adjustRightInd w:val="0"/>
              <w:snapToGrid w:val="0"/>
              <w:ind w:firstLineChars="0" w:firstLine="0"/>
              <w:rPr>
                <w:rFonts w:eastAsiaTheme="minorEastAsia"/>
                <w:b w:val="0"/>
                <w:sz w:val="18"/>
                <w:szCs w:val="18"/>
              </w:rPr>
            </w:pPr>
            <w:r w:rsidRPr="00864BEA">
              <w:rPr>
                <w:rFonts w:eastAsiaTheme="minorEastAsia"/>
                <w:b w:val="0"/>
                <w:sz w:val="18"/>
                <w:szCs w:val="18"/>
              </w:rPr>
              <w:t>-10</w:t>
            </w:r>
          </w:p>
        </w:tc>
        <w:tc>
          <w:tcPr>
            <w:tcW w:w="1882" w:type="dxa"/>
            <w:tcBorders>
              <w:top w:val="single" w:sz="4" w:space="0" w:color="000000" w:themeColor="text1"/>
              <w:bottom w:val="nil"/>
            </w:tcBorders>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50</w:t>
            </w:r>
          </w:p>
        </w:tc>
        <w:tc>
          <w:tcPr>
            <w:tcW w:w="1883" w:type="dxa"/>
            <w:tcBorders>
              <w:top w:val="single" w:sz="4" w:space="0" w:color="000000" w:themeColor="text1"/>
              <w:bottom w:val="nil"/>
            </w:tcBorders>
            <w:shd w:val="clear" w:color="auto" w:fill="auto"/>
            <w:noWrap/>
            <w:vAlign w:val="center"/>
            <w:hideMark/>
          </w:tcPr>
          <w:p w:rsidR="00A701F7" w:rsidRPr="00864BEA" w:rsidRDefault="00A701F7" w:rsidP="001F0251">
            <w:pPr>
              <w:tabs>
                <w:tab w:val="decimal" w:pos="170"/>
              </w:tabs>
              <w:adjustRightInd w:val="0"/>
              <w:snapToGrid w:val="0"/>
              <w:ind w:firstLineChars="0" w:firstLine="0"/>
              <w:cnfStyle w:val="000000100000"/>
              <w:rPr>
                <w:rFonts w:eastAsiaTheme="minorEastAsia"/>
                <w:sz w:val="18"/>
                <w:szCs w:val="18"/>
              </w:rPr>
            </w:pPr>
            <w:r w:rsidRPr="00864BEA">
              <w:rPr>
                <w:rFonts w:eastAsiaTheme="minorEastAsia"/>
                <w:sz w:val="18"/>
                <w:szCs w:val="18"/>
              </w:rPr>
              <w:t>-0.465</w:t>
            </w:r>
          </w:p>
        </w:tc>
        <w:tc>
          <w:tcPr>
            <w:tcW w:w="1882" w:type="dxa"/>
            <w:tcBorders>
              <w:top w:val="single" w:sz="4" w:space="0" w:color="000000" w:themeColor="text1"/>
              <w:bottom w:val="nil"/>
            </w:tcBorders>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1.5223</w:t>
            </w:r>
          </w:p>
        </w:tc>
        <w:tc>
          <w:tcPr>
            <w:tcW w:w="1883" w:type="dxa"/>
            <w:tcBorders>
              <w:top w:val="single" w:sz="4" w:space="0" w:color="000000" w:themeColor="text1"/>
              <w:bottom w:val="nil"/>
            </w:tcBorders>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2.1189</w:t>
            </w:r>
            <w:r w:rsidRPr="00864BEA">
              <w:rPr>
                <w:sz w:val="18"/>
                <w:szCs w:val="18"/>
                <w:vertAlign w:val="superscript"/>
              </w:rPr>
              <w:t>**</w:t>
            </w:r>
          </w:p>
        </w:tc>
      </w:tr>
      <w:tr w:rsidR="00A701F7" w:rsidRPr="00A701F7" w:rsidTr="00864BEA">
        <w:trPr>
          <w:trHeight w:val="270"/>
          <w:jc w:val="center"/>
        </w:trPr>
        <w:tc>
          <w:tcPr>
            <w:cnfStyle w:val="001000000000"/>
            <w:tcW w:w="1882" w:type="dxa"/>
            <w:tcBorders>
              <w:top w:val="nil"/>
            </w:tcBorders>
            <w:shd w:val="clear" w:color="auto" w:fill="auto"/>
            <w:noWrap/>
            <w:vAlign w:val="center"/>
            <w:hideMark/>
          </w:tcPr>
          <w:p w:rsidR="00A701F7" w:rsidRPr="00864BEA" w:rsidRDefault="00A701F7" w:rsidP="001F0251">
            <w:pPr>
              <w:tabs>
                <w:tab w:val="decimal" w:pos="255"/>
              </w:tabs>
              <w:adjustRightInd w:val="0"/>
              <w:snapToGrid w:val="0"/>
              <w:ind w:firstLineChars="0" w:firstLine="0"/>
              <w:rPr>
                <w:rFonts w:eastAsiaTheme="minorEastAsia"/>
                <w:b w:val="0"/>
                <w:sz w:val="18"/>
                <w:szCs w:val="18"/>
              </w:rPr>
            </w:pPr>
            <w:r w:rsidRPr="00864BEA">
              <w:rPr>
                <w:rFonts w:eastAsiaTheme="minorEastAsia"/>
                <w:b w:val="0"/>
                <w:sz w:val="18"/>
                <w:szCs w:val="18"/>
              </w:rPr>
              <w:t>-9</w:t>
            </w:r>
          </w:p>
        </w:tc>
        <w:tc>
          <w:tcPr>
            <w:tcW w:w="1882" w:type="dxa"/>
            <w:tcBorders>
              <w:top w:val="nil"/>
            </w:tcBorders>
            <w:shd w:val="clear" w:color="auto" w:fill="auto"/>
            <w:noWrap/>
            <w:vAlign w:val="center"/>
            <w:hideMark/>
          </w:tcPr>
          <w:p w:rsidR="00A701F7" w:rsidRPr="00A701F7" w:rsidRDefault="00A701F7" w:rsidP="001F0251">
            <w:pPr>
              <w:adjustRightInd w:val="0"/>
              <w:snapToGrid w:val="0"/>
              <w:ind w:firstLineChars="0" w:firstLine="0"/>
              <w:cnfStyle w:val="000000000000"/>
              <w:rPr>
                <w:sz w:val="18"/>
                <w:szCs w:val="18"/>
              </w:rPr>
            </w:pPr>
            <w:r w:rsidRPr="00A701F7">
              <w:rPr>
                <w:sz w:val="18"/>
                <w:szCs w:val="18"/>
              </w:rPr>
              <w:t>50</w:t>
            </w:r>
          </w:p>
        </w:tc>
        <w:tc>
          <w:tcPr>
            <w:tcW w:w="1883" w:type="dxa"/>
            <w:tcBorders>
              <w:top w:val="nil"/>
            </w:tcBorders>
            <w:shd w:val="clear" w:color="auto" w:fill="auto"/>
            <w:noWrap/>
            <w:vAlign w:val="center"/>
            <w:hideMark/>
          </w:tcPr>
          <w:p w:rsidR="00A701F7" w:rsidRPr="00864BEA" w:rsidRDefault="00A701F7" w:rsidP="001F0251">
            <w:pPr>
              <w:tabs>
                <w:tab w:val="decimal" w:pos="170"/>
              </w:tabs>
              <w:adjustRightInd w:val="0"/>
              <w:snapToGrid w:val="0"/>
              <w:ind w:firstLineChars="0" w:firstLine="0"/>
              <w:cnfStyle w:val="000000000000"/>
              <w:rPr>
                <w:rFonts w:eastAsiaTheme="minorEastAsia"/>
                <w:sz w:val="18"/>
                <w:szCs w:val="18"/>
              </w:rPr>
            </w:pPr>
            <w:r w:rsidRPr="00864BEA">
              <w:rPr>
                <w:rFonts w:eastAsiaTheme="minorEastAsia"/>
                <w:sz w:val="18"/>
                <w:szCs w:val="18"/>
              </w:rPr>
              <w:t>-0.732</w:t>
            </w:r>
          </w:p>
        </w:tc>
        <w:tc>
          <w:tcPr>
            <w:tcW w:w="1882" w:type="dxa"/>
            <w:tcBorders>
              <w:top w:val="nil"/>
            </w:tcBorders>
            <w:shd w:val="clear" w:color="auto" w:fill="auto"/>
            <w:noWrap/>
            <w:vAlign w:val="center"/>
            <w:hideMark/>
          </w:tcPr>
          <w:p w:rsidR="00A701F7" w:rsidRPr="00A701F7" w:rsidRDefault="00A701F7" w:rsidP="001F0251">
            <w:pPr>
              <w:adjustRightInd w:val="0"/>
              <w:snapToGrid w:val="0"/>
              <w:ind w:firstLineChars="0" w:firstLine="0"/>
              <w:cnfStyle w:val="000000000000"/>
              <w:rPr>
                <w:sz w:val="18"/>
                <w:szCs w:val="18"/>
              </w:rPr>
            </w:pPr>
            <w:r w:rsidRPr="00A701F7">
              <w:rPr>
                <w:sz w:val="18"/>
                <w:szCs w:val="18"/>
              </w:rPr>
              <w:t>2.9795</w:t>
            </w:r>
            <w:r w:rsidRPr="00864BEA">
              <w:rPr>
                <w:sz w:val="18"/>
                <w:szCs w:val="18"/>
                <w:vertAlign w:val="superscript"/>
              </w:rPr>
              <w:t>***</w:t>
            </w:r>
          </w:p>
        </w:tc>
        <w:tc>
          <w:tcPr>
            <w:tcW w:w="1883" w:type="dxa"/>
            <w:tcBorders>
              <w:top w:val="nil"/>
            </w:tcBorders>
            <w:shd w:val="clear" w:color="auto" w:fill="auto"/>
            <w:noWrap/>
            <w:vAlign w:val="center"/>
            <w:hideMark/>
          </w:tcPr>
          <w:p w:rsidR="00A701F7" w:rsidRPr="00A701F7" w:rsidRDefault="00A701F7" w:rsidP="001F0251">
            <w:pPr>
              <w:adjustRightInd w:val="0"/>
              <w:snapToGrid w:val="0"/>
              <w:ind w:firstLineChars="0" w:firstLine="0"/>
              <w:cnfStyle w:val="000000000000"/>
              <w:rPr>
                <w:sz w:val="18"/>
                <w:szCs w:val="18"/>
              </w:rPr>
            </w:pPr>
            <w:r w:rsidRPr="00A701F7">
              <w:rPr>
                <w:sz w:val="18"/>
                <w:szCs w:val="18"/>
              </w:rPr>
              <w:t>3.0166</w:t>
            </w:r>
            <w:r w:rsidRPr="00864BEA">
              <w:rPr>
                <w:sz w:val="18"/>
                <w:szCs w:val="18"/>
                <w:vertAlign w:val="superscript"/>
              </w:rPr>
              <w:t>***</w:t>
            </w:r>
          </w:p>
        </w:tc>
      </w:tr>
      <w:tr w:rsidR="00A701F7" w:rsidRPr="00A701F7" w:rsidTr="00864BEA">
        <w:trPr>
          <w:cnfStyle w:val="000000100000"/>
          <w:trHeight w:val="270"/>
          <w:jc w:val="center"/>
        </w:trPr>
        <w:tc>
          <w:tcPr>
            <w:cnfStyle w:val="001000000000"/>
            <w:tcW w:w="1882" w:type="dxa"/>
            <w:shd w:val="clear" w:color="auto" w:fill="auto"/>
            <w:noWrap/>
            <w:vAlign w:val="center"/>
            <w:hideMark/>
          </w:tcPr>
          <w:p w:rsidR="00A701F7" w:rsidRPr="00864BEA" w:rsidRDefault="00A701F7" w:rsidP="001F0251">
            <w:pPr>
              <w:tabs>
                <w:tab w:val="decimal" w:pos="255"/>
              </w:tabs>
              <w:adjustRightInd w:val="0"/>
              <w:snapToGrid w:val="0"/>
              <w:ind w:firstLineChars="0" w:firstLine="0"/>
              <w:rPr>
                <w:rFonts w:eastAsiaTheme="minorEastAsia"/>
                <w:b w:val="0"/>
                <w:sz w:val="18"/>
                <w:szCs w:val="18"/>
              </w:rPr>
            </w:pPr>
            <w:r w:rsidRPr="00864BEA">
              <w:rPr>
                <w:rFonts w:eastAsiaTheme="minorEastAsia"/>
                <w:b w:val="0"/>
                <w:sz w:val="18"/>
                <w:szCs w:val="18"/>
              </w:rPr>
              <w:t>-8</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50</w:t>
            </w:r>
          </w:p>
        </w:tc>
        <w:tc>
          <w:tcPr>
            <w:tcW w:w="1883" w:type="dxa"/>
            <w:shd w:val="clear" w:color="auto" w:fill="auto"/>
            <w:noWrap/>
            <w:vAlign w:val="center"/>
            <w:hideMark/>
          </w:tcPr>
          <w:p w:rsidR="00A701F7" w:rsidRPr="00864BEA" w:rsidRDefault="00A701F7" w:rsidP="001F0251">
            <w:pPr>
              <w:tabs>
                <w:tab w:val="decimal" w:pos="170"/>
              </w:tabs>
              <w:adjustRightInd w:val="0"/>
              <w:snapToGrid w:val="0"/>
              <w:ind w:firstLineChars="0" w:firstLine="0"/>
              <w:cnfStyle w:val="000000100000"/>
              <w:rPr>
                <w:rFonts w:eastAsiaTheme="minorEastAsia"/>
                <w:sz w:val="18"/>
                <w:szCs w:val="18"/>
              </w:rPr>
            </w:pPr>
            <w:r w:rsidRPr="00864BEA">
              <w:rPr>
                <w:rFonts w:eastAsiaTheme="minorEastAsia"/>
                <w:sz w:val="18"/>
                <w:szCs w:val="18"/>
              </w:rPr>
              <w:t>0.332</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1.5104</w:t>
            </w:r>
          </w:p>
        </w:tc>
        <w:tc>
          <w:tcPr>
            <w:tcW w:w="1883" w:type="dxa"/>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1.0184</w:t>
            </w:r>
          </w:p>
        </w:tc>
      </w:tr>
      <w:tr w:rsidR="00A701F7" w:rsidRPr="00A701F7" w:rsidTr="00864BEA">
        <w:trPr>
          <w:trHeight w:val="270"/>
          <w:jc w:val="center"/>
        </w:trPr>
        <w:tc>
          <w:tcPr>
            <w:cnfStyle w:val="001000000000"/>
            <w:tcW w:w="1882" w:type="dxa"/>
            <w:shd w:val="clear" w:color="auto" w:fill="auto"/>
            <w:noWrap/>
            <w:vAlign w:val="center"/>
            <w:hideMark/>
          </w:tcPr>
          <w:p w:rsidR="00A701F7" w:rsidRPr="00864BEA" w:rsidRDefault="00A701F7" w:rsidP="001F0251">
            <w:pPr>
              <w:tabs>
                <w:tab w:val="decimal" w:pos="255"/>
              </w:tabs>
              <w:adjustRightInd w:val="0"/>
              <w:snapToGrid w:val="0"/>
              <w:ind w:firstLineChars="0" w:firstLine="0"/>
              <w:rPr>
                <w:rFonts w:eastAsiaTheme="minorEastAsia"/>
                <w:b w:val="0"/>
                <w:sz w:val="18"/>
                <w:szCs w:val="18"/>
              </w:rPr>
            </w:pPr>
            <w:r w:rsidRPr="00864BEA">
              <w:rPr>
                <w:rFonts w:eastAsiaTheme="minorEastAsia"/>
                <w:b w:val="0"/>
                <w:sz w:val="18"/>
                <w:szCs w:val="18"/>
              </w:rPr>
              <w:t>-7</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000000"/>
              <w:rPr>
                <w:sz w:val="18"/>
                <w:szCs w:val="18"/>
              </w:rPr>
            </w:pPr>
            <w:r w:rsidRPr="00A701F7">
              <w:rPr>
                <w:sz w:val="18"/>
                <w:szCs w:val="18"/>
              </w:rPr>
              <w:t>50</w:t>
            </w:r>
          </w:p>
        </w:tc>
        <w:tc>
          <w:tcPr>
            <w:tcW w:w="1883" w:type="dxa"/>
            <w:shd w:val="clear" w:color="auto" w:fill="auto"/>
            <w:noWrap/>
            <w:vAlign w:val="center"/>
            <w:hideMark/>
          </w:tcPr>
          <w:p w:rsidR="00A701F7" w:rsidRPr="00864BEA" w:rsidRDefault="00A701F7" w:rsidP="001F0251">
            <w:pPr>
              <w:tabs>
                <w:tab w:val="decimal" w:pos="170"/>
              </w:tabs>
              <w:adjustRightInd w:val="0"/>
              <w:snapToGrid w:val="0"/>
              <w:ind w:firstLineChars="0" w:firstLine="0"/>
              <w:cnfStyle w:val="000000000000"/>
              <w:rPr>
                <w:rFonts w:eastAsiaTheme="minorEastAsia"/>
                <w:sz w:val="18"/>
                <w:szCs w:val="18"/>
              </w:rPr>
            </w:pPr>
            <w:r w:rsidRPr="00864BEA">
              <w:rPr>
                <w:rFonts w:eastAsiaTheme="minorEastAsia"/>
                <w:sz w:val="18"/>
                <w:szCs w:val="18"/>
              </w:rPr>
              <w:t>0.146</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000000"/>
              <w:rPr>
                <w:sz w:val="18"/>
                <w:szCs w:val="18"/>
              </w:rPr>
            </w:pPr>
            <w:r w:rsidRPr="00A701F7">
              <w:rPr>
                <w:sz w:val="18"/>
                <w:szCs w:val="18"/>
              </w:rPr>
              <w:t>0.6056</w:t>
            </w:r>
          </w:p>
        </w:tc>
        <w:tc>
          <w:tcPr>
            <w:tcW w:w="1883" w:type="dxa"/>
            <w:shd w:val="clear" w:color="auto" w:fill="auto"/>
            <w:noWrap/>
            <w:vAlign w:val="center"/>
            <w:hideMark/>
          </w:tcPr>
          <w:p w:rsidR="00A701F7" w:rsidRPr="00A701F7" w:rsidRDefault="00A701F7" w:rsidP="001F0251">
            <w:pPr>
              <w:adjustRightInd w:val="0"/>
              <w:snapToGrid w:val="0"/>
              <w:ind w:firstLineChars="0" w:firstLine="0"/>
              <w:cnfStyle w:val="000000000000"/>
              <w:rPr>
                <w:sz w:val="18"/>
                <w:szCs w:val="18"/>
              </w:rPr>
            </w:pPr>
            <w:r w:rsidRPr="00A701F7">
              <w:rPr>
                <w:sz w:val="18"/>
                <w:szCs w:val="18"/>
              </w:rPr>
              <w:t>0.4103</w:t>
            </w:r>
          </w:p>
        </w:tc>
      </w:tr>
      <w:tr w:rsidR="00A701F7" w:rsidRPr="00A701F7" w:rsidTr="00864BEA">
        <w:trPr>
          <w:cnfStyle w:val="000000100000"/>
          <w:trHeight w:val="270"/>
          <w:jc w:val="center"/>
        </w:trPr>
        <w:tc>
          <w:tcPr>
            <w:cnfStyle w:val="001000000000"/>
            <w:tcW w:w="1882" w:type="dxa"/>
            <w:shd w:val="clear" w:color="auto" w:fill="auto"/>
            <w:noWrap/>
            <w:vAlign w:val="center"/>
            <w:hideMark/>
          </w:tcPr>
          <w:p w:rsidR="00A701F7" w:rsidRPr="00864BEA" w:rsidRDefault="00A701F7" w:rsidP="001F0251">
            <w:pPr>
              <w:tabs>
                <w:tab w:val="decimal" w:pos="255"/>
              </w:tabs>
              <w:adjustRightInd w:val="0"/>
              <w:snapToGrid w:val="0"/>
              <w:ind w:firstLineChars="0" w:firstLine="0"/>
              <w:rPr>
                <w:rFonts w:eastAsiaTheme="minorEastAsia"/>
                <w:b w:val="0"/>
                <w:sz w:val="18"/>
                <w:szCs w:val="18"/>
              </w:rPr>
            </w:pPr>
            <w:r w:rsidRPr="00864BEA">
              <w:rPr>
                <w:rFonts w:eastAsiaTheme="minorEastAsia"/>
                <w:b w:val="0"/>
                <w:sz w:val="18"/>
                <w:szCs w:val="18"/>
              </w:rPr>
              <w:t>-6</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50</w:t>
            </w:r>
          </w:p>
        </w:tc>
        <w:tc>
          <w:tcPr>
            <w:tcW w:w="1883" w:type="dxa"/>
            <w:shd w:val="clear" w:color="auto" w:fill="auto"/>
            <w:noWrap/>
            <w:vAlign w:val="center"/>
            <w:hideMark/>
          </w:tcPr>
          <w:p w:rsidR="00A701F7" w:rsidRPr="00864BEA" w:rsidRDefault="00A701F7" w:rsidP="001F0251">
            <w:pPr>
              <w:tabs>
                <w:tab w:val="decimal" w:pos="170"/>
              </w:tabs>
              <w:adjustRightInd w:val="0"/>
              <w:snapToGrid w:val="0"/>
              <w:ind w:firstLineChars="0" w:firstLine="0"/>
              <w:cnfStyle w:val="000000100000"/>
              <w:rPr>
                <w:rFonts w:eastAsiaTheme="minorEastAsia"/>
                <w:sz w:val="18"/>
                <w:szCs w:val="18"/>
              </w:rPr>
            </w:pPr>
            <w:r w:rsidRPr="00864BEA">
              <w:rPr>
                <w:rFonts w:eastAsiaTheme="minorEastAsia"/>
                <w:sz w:val="18"/>
                <w:szCs w:val="18"/>
              </w:rPr>
              <w:t>-0.035</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0.1327</w:t>
            </w:r>
          </w:p>
        </w:tc>
        <w:tc>
          <w:tcPr>
            <w:tcW w:w="1883" w:type="dxa"/>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1.1246</w:t>
            </w:r>
          </w:p>
        </w:tc>
      </w:tr>
      <w:tr w:rsidR="00A701F7" w:rsidRPr="00A701F7" w:rsidTr="00864BEA">
        <w:trPr>
          <w:trHeight w:val="270"/>
          <w:jc w:val="center"/>
        </w:trPr>
        <w:tc>
          <w:tcPr>
            <w:cnfStyle w:val="001000000000"/>
            <w:tcW w:w="1882" w:type="dxa"/>
            <w:shd w:val="clear" w:color="auto" w:fill="auto"/>
            <w:noWrap/>
            <w:vAlign w:val="center"/>
            <w:hideMark/>
          </w:tcPr>
          <w:p w:rsidR="00A701F7" w:rsidRPr="00864BEA" w:rsidRDefault="00A701F7" w:rsidP="001F0251">
            <w:pPr>
              <w:tabs>
                <w:tab w:val="decimal" w:pos="255"/>
              </w:tabs>
              <w:adjustRightInd w:val="0"/>
              <w:snapToGrid w:val="0"/>
              <w:ind w:firstLineChars="0" w:firstLine="0"/>
              <w:rPr>
                <w:rFonts w:eastAsiaTheme="minorEastAsia"/>
                <w:b w:val="0"/>
                <w:sz w:val="18"/>
                <w:szCs w:val="18"/>
              </w:rPr>
            </w:pPr>
            <w:r w:rsidRPr="00864BEA">
              <w:rPr>
                <w:rFonts w:eastAsiaTheme="minorEastAsia"/>
                <w:b w:val="0"/>
                <w:sz w:val="18"/>
                <w:szCs w:val="18"/>
              </w:rPr>
              <w:t>-5</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000000"/>
              <w:rPr>
                <w:sz w:val="18"/>
                <w:szCs w:val="18"/>
              </w:rPr>
            </w:pPr>
            <w:r w:rsidRPr="00A701F7">
              <w:rPr>
                <w:sz w:val="18"/>
                <w:szCs w:val="18"/>
              </w:rPr>
              <w:t>50</w:t>
            </w:r>
          </w:p>
        </w:tc>
        <w:tc>
          <w:tcPr>
            <w:tcW w:w="1883" w:type="dxa"/>
            <w:shd w:val="clear" w:color="auto" w:fill="auto"/>
            <w:noWrap/>
            <w:vAlign w:val="center"/>
            <w:hideMark/>
          </w:tcPr>
          <w:p w:rsidR="00A701F7" w:rsidRPr="00864BEA" w:rsidRDefault="00A701F7" w:rsidP="001F0251">
            <w:pPr>
              <w:tabs>
                <w:tab w:val="decimal" w:pos="170"/>
              </w:tabs>
              <w:adjustRightInd w:val="0"/>
              <w:snapToGrid w:val="0"/>
              <w:ind w:firstLineChars="0" w:firstLine="0"/>
              <w:cnfStyle w:val="000000000000"/>
              <w:rPr>
                <w:rFonts w:eastAsiaTheme="minorEastAsia"/>
                <w:sz w:val="18"/>
                <w:szCs w:val="18"/>
              </w:rPr>
            </w:pPr>
            <w:r w:rsidRPr="00864BEA">
              <w:rPr>
                <w:rFonts w:eastAsiaTheme="minorEastAsia"/>
                <w:sz w:val="18"/>
                <w:szCs w:val="18"/>
              </w:rPr>
              <w:t>0.049</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000000"/>
              <w:rPr>
                <w:sz w:val="18"/>
                <w:szCs w:val="18"/>
              </w:rPr>
            </w:pPr>
            <w:r w:rsidRPr="00A701F7">
              <w:rPr>
                <w:sz w:val="18"/>
                <w:szCs w:val="18"/>
              </w:rPr>
              <w:t>0.2136</w:t>
            </w:r>
          </w:p>
        </w:tc>
        <w:tc>
          <w:tcPr>
            <w:tcW w:w="1883" w:type="dxa"/>
            <w:shd w:val="clear" w:color="auto" w:fill="auto"/>
            <w:noWrap/>
            <w:vAlign w:val="center"/>
            <w:hideMark/>
          </w:tcPr>
          <w:p w:rsidR="00A701F7" w:rsidRPr="00A701F7" w:rsidRDefault="00A701F7" w:rsidP="001F0251">
            <w:pPr>
              <w:adjustRightInd w:val="0"/>
              <w:snapToGrid w:val="0"/>
              <w:ind w:firstLineChars="0" w:firstLine="0"/>
              <w:cnfStyle w:val="000000000000"/>
              <w:rPr>
                <w:sz w:val="18"/>
                <w:szCs w:val="18"/>
              </w:rPr>
            </w:pPr>
            <w:r w:rsidRPr="00A701F7">
              <w:rPr>
                <w:sz w:val="18"/>
                <w:szCs w:val="18"/>
              </w:rPr>
              <w:t>0.5551</w:t>
            </w:r>
          </w:p>
        </w:tc>
      </w:tr>
      <w:tr w:rsidR="00A701F7" w:rsidRPr="00A701F7" w:rsidTr="00864BEA">
        <w:trPr>
          <w:cnfStyle w:val="000000100000"/>
          <w:trHeight w:val="270"/>
          <w:jc w:val="center"/>
        </w:trPr>
        <w:tc>
          <w:tcPr>
            <w:cnfStyle w:val="001000000000"/>
            <w:tcW w:w="1882" w:type="dxa"/>
            <w:shd w:val="clear" w:color="auto" w:fill="auto"/>
            <w:noWrap/>
            <w:vAlign w:val="center"/>
            <w:hideMark/>
          </w:tcPr>
          <w:p w:rsidR="00A701F7" w:rsidRPr="00864BEA" w:rsidRDefault="00A701F7" w:rsidP="001F0251">
            <w:pPr>
              <w:tabs>
                <w:tab w:val="decimal" w:pos="255"/>
              </w:tabs>
              <w:adjustRightInd w:val="0"/>
              <w:snapToGrid w:val="0"/>
              <w:ind w:firstLineChars="0" w:firstLine="0"/>
              <w:rPr>
                <w:rFonts w:eastAsiaTheme="minorEastAsia"/>
                <w:b w:val="0"/>
                <w:sz w:val="18"/>
                <w:szCs w:val="18"/>
              </w:rPr>
            </w:pPr>
            <w:r w:rsidRPr="00864BEA">
              <w:rPr>
                <w:rFonts w:eastAsiaTheme="minorEastAsia"/>
                <w:b w:val="0"/>
                <w:sz w:val="18"/>
                <w:szCs w:val="18"/>
              </w:rPr>
              <w:t>-4</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50</w:t>
            </w:r>
          </w:p>
        </w:tc>
        <w:tc>
          <w:tcPr>
            <w:tcW w:w="1883" w:type="dxa"/>
            <w:shd w:val="clear" w:color="auto" w:fill="auto"/>
            <w:noWrap/>
            <w:vAlign w:val="center"/>
            <w:hideMark/>
          </w:tcPr>
          <w:p w:rsidR="00A701F7" w:rsidRPr="00864BEA" w:rsidRDefault="00A701F7" w:rsidP="001F0251">
            <w:pPr>
              <w:tabs>
                <w:tab w:val="decimal" w:pos="170"/>
              </w:tabs>
              <w:adjustRightInd w:val="0"/>
              <w:snapToGrid w:val="0"/>
              <w:ind w:firstLineChars="0" w:firstLine="0"/>
              <w:cnfStyle w:val="000000100000"/>
              <w:rPr>
                <w:rFonts w:eastAsiaTheme="minorEastAsia"/>
                <w:sz w:val="18"/>
                <w:szCs w:val="18"/>
              </w:rPr>
            </w:pPr>
            <w:r w:rsidRPr="00864BEA">
              <w:rPr>
                <w:rFonts w:eastAsiaTheme="minorEastAsia"/>
                <w:sz w:val="18"/>
                <w:szCs w:val="18"/>
              </w:rPr>
              <w:t>0.426</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1.5749</w:t>
            </w:r>
          </w:p>
        </w:tc>
        <w:tc>
          <w:tcPr>
            <w:tcW w:w="1883" w:type="dxa"/>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0.7192</w:t>
            </w:r>
          </w:p>
        </w:tc>
      </w:tr>
      <w:tr w:rsidR="00A701F7" w:rsidRPr="00A701F7" w:rsidTr="00864BEA">
        <w:trPr>
          <w:trHeight w:val="270"/>
          <w:jc w:val="center"/>
        </w:trPr>
        <w:tc>
          <w:tcPr>
            <w:cnfStyle w:val="001000000000"/>
            <w:tcW w:w="1882" w:type="dxa"/>
            <w:shd w:val="clear" w:color="auto" w:fill="auto"/>
            <w:noWrap/>
            <w:vAlign w:val="center"/>
            <w:hideMark/>
          </w:tcPr>
          <w:p w:rsidR="00A701F7" w:rsidRPr="00864BEA" w:rsidRDefault="00A701F7" w:rsidP="001F0251">
            <w:pPr>
              <w:tabs>
                <w:tab w:val="decimal" w:pos="255"/>
              </w:tabs>
              <w:adjustRightInd w:val="0"/>
              <w:snapToGrid w:val="0"/>
              <w:ind w:firstLineChars="0" w:firstLine="0"/>
              <w:rPr>
                <w:rFonts w:eastAsiaTheme="minorEastAsia"/>
                <w:b w:val="0"/>
                <w:sz w:val="18"/>
                <w:szCs w:val="18"/>
              </w:rPr>
            </w:pPr>
            <w:r w:rsidRPr="00864BEA">
              <w:rPr>
                <w:rFonts w:eastAsiaTheme="minorEastAsia"/>
                <w:b w:val="0"/>
                <w:sz w:val="18"/>
                <w:szCs w:val="18"/>
              </w:rPr>
              <w:t>-3</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000000"/>
              <w:rPr>
                <w:sz w:val="18"/>
                <w:szCs w:val="18"/>
              </w:rPr>
            </w:pPr>
            <w:r w:rsidRPr="00A701F7">
              <w:rPr>
                <w:sz w:val="18"/>
                <w:szCs w:val="18"/>
              </w:rPr>
              <w:t>50</w:t>
            </w:r>
          </w:p>
        </w:tc>
        <w:tc>
          <w:tcPr>
            <w:tcW w:w="1883" w:type="dxa"/>
            <w:shd w:val="clear" w:color="auto" w:fill="auto"/>
            <w:noWrap/>
            <w:vAlign w:val="center"/>
            <w:hideMark/>
          </w:tcPr>
          <w:p w:rsidR="00A701F7" w:rsidRPr="00864BEA" w:rsidRDefault="00A701F7" w:rsidP="001F0251">
            <w:pPr>
              <w:tabs>
                <w:tab w:val="decimal" w:pos="170"/>
              </w:tabs>
              <w:adjustRightInd w:val="0"/>
              <w:snapToGrid w:val="0"/>
              <w:ind w:firstLineChars="0" w:firstLine="0"/>
              <w:cnfStyle w:val="000000000000"/>
              <w:rPr>
                <w:rFonts w:eastAsiaTheme="minorEastAsia"/>
                <w:sz w:val="18"/>
                <w:szCs w:val="18"/>
              </w:rPr>
            </w:pPr>
            <w:r w:rsidRPr="00864BEA">
              <w:rPr>
                <w:rFonts w:eastAsiaTheme="minorEastAsia"/>
                <w:sz w:val="18"/>
                <w:szCs w:val="18"/>
              </w:rPr>
              <w:t>-0.357</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000000"/>
              <w:rPr>
                <w:sz w:val="18"/>
                <w:szCs w:val="18"/>
              </w:rPr>
            </w:pPr>
            <w:r w:rsidRPr="00A701F7">
              <w:rPr>
                <w:sz w:val="18"/>
                <w:szCs w:val="18"/>
              </w:rPr>
              <w:t>1.7087</w:t>
            </w:r>
            <w:r w:rsidRPr="00864BEA">
              <w:rPr>
                <w:sz w:val="18"/>
                <w:szCs w:val="18"/>
                <w:vertAlign w:val="superscript"/>
              </w:rPr>
              <w:t>*</w:t>
            </w:r>
          </w:p>
        </w:tc>
        <w:tc>
          <w:tcPr>
            <w:tcW w:w="1883" w:type="dxa"/>
            <w:shd w:val="clear" w:color="auto" w:fill="auto"/>
            <w:noWrap/>
            <w:vAlign w:val="center"/>
            <w:hideMark/>
          </w:tcPr>
          <w:p w:rsidR="00A701F7" w:rsidRPr="00A701F7" w:rsidRDefault="00A701F7" w:rsidP="001F0251">
            <w:pPr>
              <w:adjustRightInd w:val="0"/>
              <w:snapToGrid w:val="0"/>
              <w:ind w:firstLineChars="0" w:firstLine="0"/>
              <w:cnfStyle w:val="000000000000"/>
              <w:rPr>
                <w:sz w:val="18"/>
                <w:szCs w:val="18"/>
              </w:rPr>
            </w:pPr>
            <w:r w:rsidRPr="00A701F7">
              <w:rPr>
                <w:sz w:val="18"/>
                <w:szCs w:val="18"/>
              </w:rPr>
              <w:t>1.3563</w:t>
            </w:r>
          </w:p>
        </w:tc>
      </w:tr>
      <w:tr w:rsidR="00A701F7" w:rsidRPr="00A701F7" w:rsidTr="00864BEA">
        <w:trPr>
          <w:cnfStyle w:val="000000100000"/>
          <w:trHeight w:val="270"/>
          <w:jc w:val="center"/>
        </w:trPr>
        <w:tc>
          <w:tcPr>
            <w:cnfStyle w:val="001000000000"/>
            <w:tcW w:w="1882" w:type="dxa"/>
            <w:shd w:val="clear" w:color="auto" w:fill="auto"/>
            <w:noWrap/>
            <w:vAlign w:val="center"/>
            <w:hideMark/>
          </w:tcPr>
          <w:p w:rsidR="00A701F7" w:rsidRPr="00864BEA" w:rsidRDefault="00A701F7" w:rsidP="001F0251">
            <w:pPr>
              <w:tabs>
                <w:tab w:val="decimal" w:pos="255"/>
              </w:tabs>
              <w:adjustRightInd w:val="0"/>
              <w:snapToGrid w:val="0"/>
              <w:ind w:firstLineChars="0" w:firstLine="0"/>
              <w:rPr>
                <w:rFonts w:eastAsiaTheme="minorEastAsia"/>
                <w:b w:val="0"/>
                <w:sz w:val="18"/>
                <w:szCs w:val="18"/>
              </w:rPr>
            </w:pPr>
            <w:r w:rsidRPr="00864BEA">
              <w:rPr>
                <w:rFonts w:eastAsiaTheme="minorEastAsia"/>
                <w:b w:val="0"/>
                <w:sz w:val="18"/>
                <w:szCs w:val="18"/>
              </w:rPr>
              <w:t>-2</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50</w:t>
            </w:r>
          </w:p>
        </w:tc>
        <w:tc>
          <w:tcPr>
            <w:tcW w:w="1883" w:type="dxa"/>
            <w:shd w:val="clear" w:color="auto" w:fill="auto"/>
            <w:noWrap/>
            <w:vAlign w:val="center"/>
            <w:hideMark/>
          </w:tcPr>
          <w:p w:rsidR="00A701F7" w:rsidRPr="00864BEA" w:rsidRDefault="00A701F7" w:rsidP="001F0251">
            <w:pPr>
              <w:tabs>
                <w:tab w:val="decimal" w:pos="170"/>
              </w:tabs>
              <w:adjustRightInd w:val="0"/>
              <w:snapToGrid w:val="0"/>
              <w:ind w:firstLineChars="0" w:firstLine="0"/>
              <w:cnfStyle w:val="000000100000"/>
              <w:rPr>
                <w:rFonts w:eastAsiaTheme="minorEastAsia"/>
                <w:sz w:val="18"/>
                <w:szCs w:val="18"/>
              </w:rPr>
            </w:pPr>
            <w:r w:rsidRPr="00864BEA">
              <w:rPr>
                <w:rFonts w:eastAsiaTheme="minorEastAsia"/>
                <w:sz w:val="18"/>
                <w:szCs w:val="18"/>
              </w:rPr>
              <w:t>-0.361</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1.7233</w:t>
            </w:r>
            <w:r w:rsidRPr="00864BEA">
              <w:rPr>
                <w:sz w:val="18"/>
                <w:szCs w:val="18"/>
                <w:vertAlign w:val="superscript"/>
              </w:rPr>
              <w:t>*</w:t>
            </w:r>
          </w:p>
        </w:tc>
        <w:tc>
          <w:tcPr>
            <w:tcW w:w="1883" w:type="dxa"/>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0.9895</w:t>
            </w:r>
          </w:p>
        </w:tc>
      </w:tr>
      <w:tr w:rsidR="00A701F7" w:rsidRPr="00A701F7" w:rsidTr="00864BEA">
        <w:trPr>
          <w:trHeight w:val="270"/>
          <w:jc w:val="center"/>
        </w:trPr>
        <w:tc>
          <w:tcPr>
            <w:cnfStyle w:val="001000000000"/>
            <w:tcW w:w="1882" w:type="dxa"/>
            <w:shd w:val="clear" w:color="auto" w:fill="auto"/>
            <w:noWrap/>
            <w:vAlign w:val="center"/>
            <w:hideMark/>
          </w:tcPr>
          <w:p w:rsidR="00A701F7" w:rsidRPr="00864BEA" w:rsidRDefault="00A701F7" w:rsidP="001F0251">
            <w:pPr>
              <w:tabs>
                <w:tab w:val="decimal" w:pos="255"/>
              </w:tabs>
              <w:adjustRightInd w:val="0"/>
              <w:snapToGrid w:val="0"/>
              <w:ind w:firstLineChars="0" w:firstLine="0"/>
              <w:rPr>
                <w:rFonts w:eastAsiaTheme="minorEastAsia"/>
                <w:b w:val="0"/>
                <w:sz w:val="18"/>
                <w:szCs w:val="18"/>
              </w:rPr>
            </w:pPr>
            <w:r w:rsidRPr="00864BEA">
              <w:rPr>
                <w:rFonts w:eastAsiaTheme="minorEastAsia"/>
                <w:b w:val="0"/>
                <w:sz w:val="18"/>
                <w:szCs w:val="18"/>
              </w:rPr>
              <w:t>-1</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000000"/>
              <w:rPr>
                <w:sz w:val="18"/>
                <w:szCs w:val="18"/>
              </w:rPr>
            </w:pPr>
            <w:r w:rsidRPr="00A701F7">
              <w:rPr>
                <w:sz w:val="18"/>
                <w:szCs w:val="18"/>
              </w:rPr>
              <w:t>50</w:t>
            </w:r>
          </w:p>
        </w:tc>
        <w:tc>
          <w:tcPr>
            <w:tcW w:w="1883" w:type="dxa"/>
            <w:shd w:val="clear" w:color="auto" w:fill="auto"/>
            <w:noWrap/>
            <w:vAlign w:val="center"/>
            <w:hideMark/>
          </w:tcPr>
          <w:p w:rsidR="00A701F7" w:rsidRPr="00864BEA" w:rsidRDefault="00A701F7" w:rsidP="001F0251">
            <w:pPr>
              <w:tabs>
                <w:tab w:val="decimal" w:pos="170"/>
              </w:tabs>
              <w:adjustRightInd w:val="0"/>
              <w:snapToGrid w:val="0"/>
              <w:ind w:firstLineChars="0" w:firstLine="0"/>
              <w:cnfStyle w:val="000000000000"/>
              <w:rPr>
                <w:rFonts w:eastAsiaTheme="minorEastAsia"/>
                <w:sz w:val="18"/>
                <w:szCs w:val="18"/>
              </w:rPr>
            </w:pPr>
            <w:r w:rsidRPr="00864BEA">
              <w:rPr>
                <w:rFonts w:eastAsiaTheme="minorEastAsia"/>
                <w:sz w:val="18"/>
                <w:szCs w:val="18"/>
              </w:rPr>
              <w:t>-0.331</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000000"/>
              <w:rPr>
                <w:sz w:val="18"/>
                <w:szCs w:val="18"/>
              </w:rPr>
            </w:pPr>
            <w:r w:rsidRPr="00A701F7">
              <w:rPr>
                <w:sz w:val="18"/>
                <w:szCs w:val="18"/>
              </w:rPr>
              <w:t>1.4049</w:t>
            </w:r>
          </w:p>
        </w:tc>
        <w:tc>
          <w:tcPr>
            <w:tcW w:w="1883" w:type="dxa"/>
            <w:shd w:val="clear" w:color="auto" w:fill="auto"/>
            <w:noWrap/>
            <w:vAlign w:val="center"/>
            <w:hideMark/>
          </w:tcPr>
          <w:p w:rsidR="00A701F7" w:rsidRPr="00A701F7" w:rsidRDefault="00A701F7" w:rsidP="001F0251">
            <w:pPr>
              <w:adjustRightInd w:val="0"/>
              <w:snapToGrid w:val="0"/>
              <w:ind w:firstLineChars="0" w:firstLine="0"/>
              <w:cnfStyle w:val="000000000000"/>
              <w:rPr>
                <w:sz w:val="18"/>
                <w:szCs w:val="18"/>
              </w:rPr>
            </w:pPr>
            <w:r w:rsidRPr="00A701F7">
              <w:rPr>
                <w:sz w:val="18"/>
                <w:szCs w:val="18"/>
              </w:rPr>
              <w:t>1.2694</w:t>
            </w:r>
          </w:p>
        </w:tc>
      </w:tr>
      <w:tr w:rsidR="00A701F7" w:rsidRPr="00A701F7" w:rsidTr="00864BEA">
        <w:trPr>
          <w:cnfStyle w:val="000000100000"/>
          <w:trHeight w:val="270"/>
          <w:jc w:val="center"/>
        </w:trPr>
        <w:tc>
          <w:tcPr>
            <w:cnfStyle w:val="001000000000"/>
            <w:tcW w:w="1882" w:type="dxa"/>
            <w:shd w:val="clear" w:color="auto" w:fill="auto"/>
            <w:noWrap/>
            <w:vAlign w:val="center"/>
            <w:hideMark/>
          </w:tcPr>
          <w:p w:rsidR="00A701F7" w:rsidRPr="00864BEA" w:rsidRDefault="00A701F7" w:rsidP="001F0251">
            <w:pPr>
              <w:tabs>
                <w:tab w:val="decimal" w:pos="255"/>
              </w:tabs>
              <w:adjustRightInd w:val="0"/>
              <w:snapToGrid w:val="0"/>
              <w:ind w:firstLineChars="0" w:firstLine="0"/>
              <w:rPr>
                <w:rFonts w:eastAsiaTheme="minorEastAsia"/>
                <w:b w:val="0"/>
                <w:sz w:val="18"/>
                <w:szCs w:val="18"/>
              </w:rPr>
            </w:pPr>
            <w:r w:rsidRPr="00864BEA">
              <w:rPr>
                <w:rFonts w:eastAsiaTheme="minorEastAsia"/>
                <w:b w:val="0"/>
                <w:sz w:val="18"/>
                <w:szCs w:val="18"/>
              </w:rPr>
              <w:t>0</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50</w:t>
            </w:r>
          </w:p>
        </w:tc>
        <w:tc>
          <w:tcPr>
            <w:tcW w:w="1883" w:type="dxa"/>
            <w:shd w:val="clear" w:color="auto" w:fill="auto"/>
            <w:noWrap/>
            <w:vAlign w:val="center"/>
            <w:hideMark/>
          </w:tcPr>
          <w:p w:rsidR="00A701F7" w:rsidRPr="00864BEA" w:rsidRDefault="00A701F7" w:rsidP="001F0251">
            <w:pPr>
              <w:tabs>
                <w:tab w:val="decimal" w:pos="170"/>
              </w:tabs>
              <w:adjustRightInd w:val="0"/>
              <w:snapToGrid w:val="0"/>
              <w:ind w:firstLineChars="0" w:firstLine="0"/>
              <w:cnfStyle w:val="000000100000"/>
              <w:rPr>
                <w:rFonts w:eastAsiaTheme="minorEastAsia"/>
                <w:sz w:val="18"/>
                <w:szCs w:val="18"/>
              </w:rPr>
            </w:pPr>
            <w:r w:rsidRPr="00864BEA">
              <w:rPr>
                <w:rFonts w:eastAsiaTheme="minorEastAsia"/>
                <w:sz w:val="18"/>
                <w:szCs w:val="18"/>
              </w:rPr>
              <w:t>-0.293</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0.9841</w:t>
            </w:r>
          </w:p>
        </w:tc>
        <w:tc>
          <w:tcPr>
            <w:tcW w:w="1883" w:type="dxa"/>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1.1246</w:t>
            </w:r>
          </w:p>
        </w:tc>
      </w:tr>
      <w:tr w:rsidR="00A701F7" w:rsidRPr="00A701F7" w:rsidTr="00864BEA">
        <w:trPr>
          <w:trHeight w:val="270"/>
          <w:jc w:val="center"/>
        </w:trPr>
        <w:tc>
          <w:tcPr>
            <w:cnfStyle w:val="001000000000"/>
            <w:tcW w:w="1882" w:type="dxa"/>
            <w:shd w:val="clear" w:color="auto" w:fill="auto"/>
            <w:noWrap/>
            <w:vAlign w:val="center"/>
            <w:hideMark/>
          </w:tcPr>
          <w:p w:rsidR="00A701F7" w:rsidRPr="00864BEA" w:rsidRDefault="00A701F7" w:rsidP="001F0251">
            <w:pPr>
              <w:tabs>
                <w:tab w:val="decimal" w:pos="255"/>
              </w:tabs>
              <w:adjustRightInd w:val="0"/>
              <w:snapToGrid w:val="0"/>
              <w:ind w:firstLineChars="0" w:firstLine="0"/>
              <w:rPr>
                <w:rFonts w:eastAsiaTheme="minorEastAsia"/>
                <w:b w:val="0"/>
                <w:sz w:val="18"/>
                <w:szCs w:val="18"/>
              </w:rPr>
            </w:pPr>
            <w:r w:rsidRPr="00864BEA">
              <w:rPr>
                <w:rFonts w:eastAsiaTheme="minorEastAsia"/>
                <w:b w:val="0"/>
                <w:sz w:val="18"/>
                <w:szCs w:val="18"/>
              </w:rPr>
              <w:t>1</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000000"/>
              <w:rPr>
                <w:sz w:val="18"/>
                <w:szCs w:val="18"/>
              </w:rPr>
            </w:pPr>
            <w:r w:rsidRPr="00A701F7">
              <w:rPr>
                <w:sz w:val="18"/>
                <w:szCs w:val="18"/>
              </w:rPr>
              <w:t>50</w:t>
            </w:r>
          </w:p>
        </w:tc>
        <w:tc>
          <w:tcPr>
            <w:tcW w:w="1883" w:type="dxa"/>
            <w:shd w:val="clear" w:color="auto" w:fill="auto"/>
            <w:noWrap/>
            <w:vAlign w:val="center"/>
            <w:hideMark/>
          </w:tcPr>
          <w:p w:rsidR="00A701F7" w:rsidRPr="00864BEA" w:rsidRDefault="00A701F7" w:rsidP="001F0251">
            <w:pPr>
              <w:tabs>
                <w:tab w:val="decimal" w:pos="170"/>
              </w:tabs>
              <w:adjustRightInd w:val="0"/>
              <w:snapToGrid w:val="0"/>
              <w:ind w:firstLineChars="0" w:firstLine="0"/>
              <w:cnfStyle w:val="000000000000"/>
              <w:rPr>
                <w:rFonts w:eastAsiaTheme="minorEastAsia"/>
                <w:sz w:val="18"/>
                <w:szCs w:val="18"/>
              </w:rPr>
            </w:pPr>
            <w:r w:rsidRPr="00864BEA">
              <w:rPr>
                <w:rFonts w:eastAsiaTheme="minorEastAsia"/>
                <w:sz w:val="18"/>
                <w:szCs w:val="18"/>
              </w:rPr>
              <w:t>-0.127</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000000"/>
              <w:rPr>
                <w:sz w:val="18"/>
                <w:szCs w:val="18"/>
              </w:rPr>
            </w:pPr>
            <w:r w:rsidRPr="00A701F7">
              <w:rPr>
                <w:sz w:val="18"/>
                <w:szCs w:val="18"/>
              </w:rPr>
              <w:t>0.5671</w:t>
            </w:r>
          </w:p>
        </w:tc>
        <w:tc>
          <w:tcPr>
            <w:tcW w:w="1883" w:type="dxa"/>
            <w:shd w:val="clear" w:color="auto" w:fill="auto"/>
            <w:noWrap/>
            <w:vAlign w:val="center"/>
            <w:hideMark/>
          </w:tcPr>
          <w:p w:rsidR="00A701F7" w:rsidRPr="00A701F7" w:rsidRDefault="00A701F7" w:rsidP="001F0251">
            <w:pPr>
              <w:adjustRightInd w:val="0"/>
              <w:snapToGrid w:val="0"/>
              <w:ind w:firstLineChars="0" w:firstLine="0"/>
              <w:cnfStyle w:val="000000000000"/>
              <w:rPr>
                <w:sz w:val="18"/>
                <w:szCs w:val="18"/>
              </w:rPr>
            </w:pPr>
            <w:r w:rsidRPr="00A701F7">
              <w:rPr>
                <w:sz w:val="18"/>
                <w:szCs w:val="18"/>
              </w:rPr>
              <w:t>1.1825</w:t>
            </w:r>
          </w:p>
        </w:tc>
      </w:tr>
      <w:tr w:rsidR="00A701F7" w:rsidRPr="00A701F7" w:rsidTr="00864BEA">
        <w:trPr>
          <w:cnfStyle w:val="000000100000"/>
          <w:trHeight w:val="270"/>
          <w:jc w:val="center"/>
        </w:trPr>
        <w:tc>
          <w:tcPr>
            <w:cnfStyle w:val="001000000000"/>
            <w:tcW w:w="1882" w:type="dxa"/>
            <w:shd w:val="clear" w:color="auto" w:fill="auto"/>
            <w:noWrap/>
            <w:vAlign w:val="center"/>
            <w:hideMark/>
          </w:tcPr>
          <w:p w:rsidR="00A701F7" w:rsidRPr="00864BEA" w:rsidRDefault="00A701F7" w:rsidP="001F0251">
            <w:pPr>
              <w:tabs>
                <w:tab w:val="decimal" w:pos="255"/>
              </w:tabs>
              <w:adjustRightInd w:val="0"/>
              <w:snapToGrid w:val="0"/>
              <w:ind w:firstLineChars="0" w:firstLine="0"/>
              <w:rPr>
                <w:rFonts w:eastAsiaTheme="minorEastAsia"/>
                <w:b w:val="0"/>
                <w:sz w:val="18"/>
                <w:szCs w:val="18"/>
              </w:rPr>
            </w:pPr>
            <w:r w:rsidRPr="00864BEA">
              <w:rPr>
                <w:rFonts w:eastAsiaTheme="minorEastAsia"/>
                <w:b w:val="0"/>
                <w:sz w:val="18"/>
                <w:szCs w:val="18"/>
              </w:rPr>
              <w:t>2</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50</w:t>
            </w:r>
          </w:p>
        </w:tc>
        <w:tc>
          <w:tcPr>
            <w:tcW w:w="1883" w:type="dxa"/>
            <w:shd w:val="clear" w:color="auto" w:fill="auto"/>
            <w:noWrap/>
            <w:vAlign w:val="center"/>
            <w:hideMark/>
          </w:tcPr>
          <w:p w:rsidR="00A701F7" w:rsidRPr="00864BEA" w:rsidRDefault="00A701F7" w:rsidP="001F0251">
            <w:pPr>
              <w:tabs>
                <w:tab w:val="decimal" w:pos="170"/>
              </w:tabs>
              <w:adjustRightInd w:val="0"/>
              <w:snapToGrid w:val="0"/>
              <w:ind w:firstLineChars="0" w:firstLine="0"/>
              <w:cnfStyle w:val="000000100000"/>
              <w:rPr>
                <w:rFonts w:eastAsiaTheme="minorEastAsia"/>
                <w:sz w:val="18"/>
                <w:szCs w:val="18"/>
              </w:rPr>
            </w:pPr>
            <w:r w:rsidRPr="00864BEA">
              <w:rPr>
                <w:rFonts w:eastAsiaTheme="minorEastAsia"/>
                <w:sz w:val="18"/>
                <w:szCs w:val="18"/>
              </w:rPr>
              <w:t>-0.464</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1.9841</w:t>
            </w:r>
            <w:r w:rsidRPr="00864BEA">
              <w:rPr>
                <w:sz w:val="18"/>
                <w:szCs w:val="18"/>
                <w:vertAlign w:val="superscript"/>
              </w:rPr>
              <w:t>*</w:t>
            </w:r>
          </w:p>
        </w:tc>
        <w:tc>
          <w:tcPr>
            <w:tcW w:w="1883" w:type="dxa"/>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2.3023</w:t>
            </w:r>
            <w:r w:rsidRPr="00864BEA">
              <w:rPr>
                <w:sz w:val="18"/>
                <w:szCs w:val="18"/>
                <w:vertAlign w:val="superscript"/>
              </w:rPr>
              <w:t>**</w:t>
            </w:r>
          </w:p>
        </w:tc>
      </w:tr>
      <w:tr w:rsidR="00A701F7" w:rsidRPr="00A701F7" w:rsidTr="00864BEA">
        <w:trPr>
          <w:trHeight w:val="270"/>
          <w:jc w:val="center"/>
        </w:trPr>
        <w:tc>
          <w:tcPr>
            <w:cnfStyle w:val="001000000000"/>
            <w:tcW w:w="1882" w:type="dxa"/>
            <w:shd w:val="clear" w:color="auto" w:fill="auto"/>
            <w:noWrap/>
            <w:vAlign w:val="center"/>
            <w:hideMark/>
          </w:tcPr>
          <w:p w:rsidR="00A701F7" w:rsidRPr="00864BEA" w:rsidRDefault="00A701F7" w:rsidP="001F0251">
            <w:pPr>
              <w:tabs>
                <w:tab w:val="decimal" w:pos="255"/>
              </w:tabs>
              <w:adjustRightInd w:val="0"/>
              <w:snapToGrid w:val="0"/>
              <w:ind w:firstLineChars="0" w:firstLine="0"/>
              <w:rPr>
                <w:rFonts w:eastAsiaTheme="minorEastAsia"/>
                <w:b w:val="0"/>
                <w:sz w:val="18"/>
                <w:szCs w:val="18"/>
              </w:rPr>
            </w:pPr>
            <w:r w:rsidRPr="00864BEA">
              <w:rPr>
                <w:rFonts w:eastAsiaTheme="minorEastAsia"/>
                <w:b w:val="0"/>
                <w:sz w:val="18"/>
                <w:szCs w:val="18"/>
              </w:rPr>
              <w:t>3</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000000"/>
              <w:rPr>
                <w:sz w:val="18"/>
                <w:szCs w:val="18"/>
              </w:rPr>
            </w:pPr>
            <w:r w:rsidRPr="00A701F7">
              <w:rPr>
                <w:sz w:val="18"/>
                <w:szCs w:val="18"/>
              </w:rPr>
              <w:t>50</w:t>
            </w:r>
          </w:p>
        </w:tc>
        <w:tc>
          <w:tcPr>
            <w:tcW w:w="1883" w:type="dxa"/>
            <w:shd w:val="clear" w:color="auto" w:fill="auto"/>
            <w:noWrap/>
            <w:vAlign w:val="center"/>
            <w:hideMark/>
          </w:tcPr>
          <w:p w:rsidR="00A701F7" w:rsidRPr="00864BEA" w:rsidRDefault="00A701F7" w:rsidP="001F0251">
            <w:pPr>
              <w:tabs>
                <w:tab w:val="decimal" w:pos="170"/>
              </w:tabs>
              <w:adjustRightInd w:val="0"/>
              <w:snapToGrid w:val="0"/>
              <w:ind w:firstLineChars="0" w:firstLine="0"/>
              <w:cnfStyle w:val="000000000000"/>
              <w:rPr>
                <w:rFonts w:eastAsiaTheme="minorEastAsia"/>
                <w:sz w:val="18"/>
                <w:szCs w:val="18"/>
              </w:rPr>
            </w:pPr>
            <w:r w:rsidRPr="00864BEA">
              <w:rPr>
                <w:rFonts w:eastAsiaTheme="minorEastAsia"/>
                <w:sz w:val="18"/>
                <w:szCs w:val="18"/>
              </w:rPr>
              <w:t>-0.124</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000000"/>
              <w:rPr>
                <w:sz w:val="18"/>
                <w:szCs w:val="18"/>
              </w:rPr>
            </w:pPr>
            <w:r w:rsidRPr="00A701F7">
              <w:rPr>
                <w:sz w:val="18"/>
                <w:szCs w:val="18"/>
              </w:rPr>
              <w:t>0.4025</w:t>
            </w:r>
          </w:p>
        </w:tc>
        <w:tc>
          <w:tcPr>
            <w:tcW w:w="1883" w:type="dxa"/>
            <w:shd w:val="clear" w:color="auto" w:fill="auto"/>
            <w:noWrap/>
            <w:vAlign w:val="center"/>
            <w:hideMark/>
          </w:tcPr>
          <w:p w:rsidR="00A701F7" w:rsidRPr="00A701F7" w:rsidRDefault="00A701F7" w:rsidP="001F0251">
            <w:pPr>
              <w:adjustRightInd w:val="0"/>
              <w:snapToGrid w:val="0"/>
              <w:ind w:firstLineChars="0" w:firstLine="0"/>
              <w:cnfStyle w:val="000000000000"/>
              <w:rPr>
                <w:sz w:val="18"/>
                <w:szCs w:val="18"/>
              </w:rPr>
            </w:pPr>
            <w:r w:rsidRPr="00A701F7">
              <w:rPr>
                <w:sz w:val="18"/>
                <w:szCs w:val="18"/>
              </w:rPr>
              <w:t>0.2944</w:t>
            </w:r>
          </w:p>
        </w:tc>
      </w:tr>
      <w:tr w:rsidR="00A701F7" w:rsidRPr="00A701F7" w:rsidTr="00864BEA">
        <w:trPr>
          <w:cnfStyle w:val="000000100000"/>
          <w:trHeight w:val="270"/>
          <w:jc w:val="center"/>
        </w:trPr>
        <w:tc>
          <w:tcPr>
            <w:cnfStyle w:val="001000000000"/>
            <w:tcW w:w="1882" w:type="dxa"/>
            <w:shd w:val="clear" w:color="auto" w:fill="auto"/>
            <w:noWrap/>
            <w:vAlign w:val="center"/>
            <w:hideMark/>
          </w:tcPr>
          <w:p w:rsidR="00A701F7" w:rsidRPr="00864BEA" w:rsidRDefault="00A701F7" w:rsidP="001F0251">
            <w:pPr>
              <w:tabs>
                <w:tab w:val="decimal" w:pos="255"/>
              </w:tabs>
              <w:adjustRightInd w:val="0"/>
              <w:snapToGrid w:val="0"/>
              <w:ind w:firstLineChars="0" w:firstLine="0"/>
              <w:rPr>
                <w:rFonts w:eastAsiaTheme="minorEastAsia"/>
                <w:b w:val="0"/>
                <w:sz w:val="18"/>
                <w:szCs w:val="18"/>
              </w:rPr>
            </w:pPr>
            <w:r w:rsidRPr="00864BEA">
              <w:rPr>
                <w:rFonts w:eastAsiaTheme="minorEastAsia"/>
                <w:b w:val="0"/>
                <w:sz w:val="18"/>
                <w:szCs w:val="18"/>
              </w:rPr>
              <w:t>4</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50</w:t>
            </w:r>
          </w:p>
        </w:tc>
        <w:tc>
          <w:tcPr>
            <w:tcW w:w="1883" w:type="dxa"/>
            <w:shd w:val="clear" w:color="auto" w:fill="auto"/>
            <w:noWrap/>
            <w:vAlign w:val="center"/>
            <w:hideMark/>
          </w:tcPr>
          <w:p w:rsidR="00A701F7" w:rsidRPr="00864BEA" w:rsidRDefault="00A701F7" w:rsidP="001F0251">
            <w:pPr>
              <w:tabs>
                <w:tab w:val="decimal" w:pos="170"/>
              </w:tabs>
              <w:adjustRightInd w:val="0"/>
              <w:snapToGrid w:val="0"/>
              <w:ind w:firstLineChars="0" w:firstLine="0"/>
              <w:cnfStyle w:val="000000100000"/>
              <w:rPr>
                <w:rFonts w:eastAsiaTheme="minorEastAsia"/>
                <w:sz w:val="18"/>
                <w:szCs w:val="18"/>
              </w:rPr>
            </w:pPr>
            <w:r w:rsidRPr="00864BEA">
              <w:rPr>
                <w:rFonts w:eastAsiaTheme="minorEastAsia"/>
                <w:sz w:val="18"/>
                <w:szCs w:val="18"/>
              </w:rPr>
              <w:t>-0.139</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0.6566</w:t>
            </w:r>
          </w:p>
        </w:tc>
        <w:tc>
          <w:tcPr>
            <w:tcW w:w="1883" w:type="dxa"/>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0.5165</w:t>
            </w:r>
          </w:p>
        </w:tc>
      </w:tr>
      <w:tr w:rsidR="00A701F7" w:rsidRPr="00A701F7" w:rsidTr="00864BEA">
        <w:trPr>
          <w:trHeight w:val="270"/>
          <w:jc w:val="center"/>
        </w:trPr>
        <w:tc>
          <w:tcPr>
            <w:cnfStyle w:val="001000000000"/>
            <w:tcW w:w="1882" w:type="dxa"/>
            <w:shd w:val="clear" w:color="auto" w:fill="auto"/>
            <w:noWrap/>
            <w:vAlign w:val="center"/>
            <w:hideMark/>
          </w:tcPr>
          <w:p w:rsidR="00A701F7" w:rsidRPr="00864BEA" w:rsidRDefault="00A701F7" w:rsidP="001F0251">
            <w:pPr>
              <w:tabs>
                <w:tab w:val="decimal" w:pos="255"/>
              </w:tabs>
              <w:adjustRightInd w:val="0"/>
              <w:snapToGrid w:val="0"/>
              <w:ind w:firstLineChars="0" w:firstLine="0"/>
              <w:rPr>
                <w:rFonts w:eastAsiaTheme="minorEastAsia"/>
                <w:b w:val="0"/>
                <w:sz w:val="18"/>
                <w:szCs w:val="18"/>
              </w:rPr>
            </w:pPr>
            <w:r w:rsidRPr="00864BEA">
              <w:rPr>
                <w:rFonts w:eastAsiaTheme="minorEastAsia"/>
                <w:b w:val="0"/>
                <w:sz w:val="18"/>
                <w:szCs w:val="18"/>
              </w:rPr>
              <w:t>5</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000000"/>
              <w:rPr>
                <w:sz w:val="18"/>
                <w:szCs w:val="18"/>
              </w:rPr>
            </w:pPr>
            <w:r w:rsidRPr="00A701F7">
              <w:rPr>
                <w:sz w:val="18"/>
                <w:szCs w:val="18"/>
              </w:rPr>
              <w:t>50</w:t>
            </w:r>
          </w:p>
        </w:tc>
        <w:tc>
          <w:tcPr>
            <w:tcW w:w="1883" w:type="dxa"/>
            <w:shd w:val="clear" w:color="auto" w:fill="auto"/>
            <w:noWrap/>
            <w:vAlign w:val="center"/>
            <w:hideMark/>
          </w:tcPr>
          <w:p w:rsidR="00A701F7" w:rsidRPr="00864BEA" w:rsidRDefault="00A701F7" w:rsidP="001F0251">
            <w:pPr>
              <w:tabs>
                <w:tab w:val="decimal" w:pos="170"/>
              </w:tabs>
              <w:adjustRightInd w:val="0"/>
              <w:snapToGrid w:val="0"/>
              <w:ind w:firstLineChars="0" w:firstLine="0"/>
              <w:cnfStyle w:val="000000000000"/>
              <w:rPr>
                <w:rFonts w:eastAsiaTheme="minorEastAsia"/>
                <w:sz w:val="18"/>
                <w:szCs w:val="18"/>
              </w:rPr>
            </w:pPr>
            <w:r w:rsidRPr="00864BEA">
              <w:rPr>
                <w:rFonts w:eastAsiaTheme="minorEastAsia"/>
                <w:sz w:val="18"/>
                <w:szCs w:val="18"/>
              </w:rPr>
              <w:t>0.120</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000000"/>
              <w:rPr>
                <w:sz w:val="18"/>
                <w:szCs w:val="18"/>
              </w:rPr>
            </w:pPr>
            <w:r w:rsidRPr="00A701F7">
              <w:rPr>
                <w:sz w:val="18"/>
                <w:szCs w:val="18"/>
              </w:rPr>
              <w:t>0.4260</w:t>
            </w:r>
          </w:p>
        </w:tc>
        <w:tc>
          <w:tcPr>
            <w:tcW w:w="1883" w:type="dxa"/>
            <w:shd w:val="clear" w:color="auto" w:fill="auto"/>
            <w:noWrap/>
            <w:vAlign w:val="center"/>
            <w:hideMark/>
          </w:tcPr>
          <w:p w:rsidR="00A701F7" w:rsidRPr="00A701F7" w:rsidRDefault="00A701F7" w:rsidP="001F0251">
            <w:pPr>
              <w:adjustRightInd w:val="0"/>
              <w:snapToGrid w:val="0"/>
              <w:ind w:firstLineChars="0" w:firstLine="0"/>
              <w:cnfStyle w:val="000000000000"/>
              <w:rPr>
                <w:sz w:val="18"/>
                <w:szCs w:val="18"/>
              </w:rPr>
            </w:pPr>
            <w:r w:rsidRPr="00A701F7">
              <w:rPr>
                <w:sz w:val="18"/>
                <w:szCs w:val="18"/>
              </w:rPr>
              <w:t>0.1786</w:t>
            </w:r>
          </w:p>
        </w:tc>
      </w:tr>
      <w:tr w:rsidR="00A701F7" w:rsidRPr="00A701F7" w:rsidTr="00864BEA">
        <w:trPr>
          <w:cnfStyle w:val="000000100000"/>
          <w:trHeight w:val="270"/>
          <w:jc w:val="center"/>
        </w:trPr>
        <w:tc>
          <w:tcPr>
            <w:cnfStyle w:val="001000000000"/>
            <w:tcW w:w="1882" w:type="dxa"/>
            <w:shd w:val="clear" w:color="auto" w:fill="auto"/>
            <w:noWrap/>
            <w:vAlign w:val="center"/>
            <w:hideMark/>
          </w:tcPr>
          <w:p w:rsidR="00A701F7" w:rsidRPr="00864BEA" w:rsidRDefault="00A701F7" w:rsidP="001F0251">
            <w:pPr>
              <w:tabs>
                <w:tab w:val="decimal" w:pos="255"/>
              </w:tabs>
              <w:adjustRightInd w:val="0"/>
              <w:snapToGrid w:val="0"/>
              <w:ind w:firstLineChars="0" w:firstLine="0"/>
              <w:rPr>
                <w:rFonts w:eastAsiaTheme="minorEastAsia"/>
                <w:b w:val="0"/>
                <w:sz w:val="18"/>
                <w:szCs w:val="18"/>
              </w:rPr>
            </w:pPr>
            <w:r w:rsidRPr="00864BEA">
              <w:rPr>
                <w:rFonts w:eastAsiaTheme="minorEastAsia"/>
                <w:b w:val="0"/>
                <w:sz w:val="18"/>
                <w:szCs w:val="18"/>
              </w:rPr>
              <w:t>6</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50</w:t>
            </w:r>
          </w:p>
        </w:tc>
        <w:tc>
          <w:tcPr>
            <w:tcW w:w="1883" w:type="dxa"/>
            <w:shd w:val="clear" w:color="auto" w:fill="auto"/>
            <w:noWrap/>
            <w:vAlign w:val="center"/>
            <w:hideMark/>
          </w:tcPr>
          <w:p w:rsidR="00A701F7" w:rsidRPr="00864BEA" w:rsidRDefault="00A701F7" w:rsidP="001F0251">
            <w:pPr>
              <w:tabs>
                <w:tab w:val="decimal" w:pos="170"/>
              </w:tabs>
              <w:adjustRightInd w:val="0"/>
              <w:snapToGrid w:val="0"/>
              <w:ind w:firstLineChars="0" w:firstLine="0"/>
              <w:cnfStyle w:val="000000100000"/>
              <w:rPr>
                <w:rFonts w:eastAsiaTheme="minorEastAsia"/>
                <w:sz w:val="18"/>
                <w:szCs w:val="18"/>
              </w:rPr>
            </w:pPr>
            <w:r w:rsidRPr="00864BEA">
              <w:rPr>
                <w:rFonts w:eastAsiaTheme="minorEastAsia"/>
                <w:sz w:val="18"/>
                <w:szCs w:val="18"/>
              </w:rPr>
              <w:t>-0.229</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1.0040</w:t>
            </w:r>
          </w:p>
        </w:tc>
        <w:tc>
          <w:tcPr>
            <w:tcW w:w="1883" w:type="dxa"/>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1.5204</w:t>
            </w:r>
          </w:p>
        </w:tc>
      </w:tr>
      <w:tr w:rsidR="00A701F7" w:rsidRPr="00A701F7" w:rsidTr="00864BEA">
        <w:trPr>
          <w:trHeight w:val="270"/>
          <w:jc w:val="center"/>
        </w:trPr>
        <w:tc>
          <w:tcPr>
            <w:cnfStyle w:val="001000000000"/>
            <w:tcW w:w="1882" w:type="dxa"/>
            <w:shd w:val="clear" w:color="auto" w:fill="auto"/>
            <w:noWrap/>
            <w:vAlign w:val="center"/>
            <w:hideMark/>
          </w:tcPr>
          <w:p w:rsidR="00A701F7" w:rsidRPr="00864BEA" w:rsidRDefault="00A701F7" w:rsidP="001F0251">
            <w:pPr>
              <w:tabs>
                <w:tab w:val="decimal" w:pos="255"/>
              </w:tabs>
              <w:adjustRightInd w:val="0"/>
              <w:snapToGrid w:val="0"/>
              <w:ind w:firstLineChars="0" w:firstLine="0"/>
              <w:rPr>
                <w:rFonts w:eastAsiaTheme="minorEastAsia"/>
                <w:b w:val="0"/>
                <w:sz w:val="18"/>
                <w:szCs w:val="18"/>
              </w:rPr>
            </w:pPr>
            <w:r w:rsidRPr="00864BEA">
              <w:rPr>
                <w:rFonts w:eastAsiaTheme="minorEastAsia"/>
                <w:b w:val="0"/>
                <w:sz w:val="18"/>
                <w:szCs w:val="18"/>
              </w:rPr>
              <w:t>7</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000000"/>
              <w:rPr>
                <w:sz w:val="18"/>
                <w:szCs w:val="18"/>
              </w:rPr>
            </w:pPr>
            <w:r w:rsidRPr="00A701F7">
              <w:rPr>
                <w:sz w:val="18"/>
                <w:szCs w:val="18"/>
              </w:rPr>
              <w:t>50</w:t>
            </w:r>
          </w:p>
        </w:tc>
        <w:tc>
          <w:tcPr>
            <w:tcW w:w="1883" w:type="dxa"/>
            <w:shd w:val="clear" w:color="auto" w:fill="auto"/>
            <w:noWrap/>
            <w:vAlign w:val="center"/>
            <w:hideMark/>
          </w:tcPr>
          <w:p w:rsidR="00A701F7" w:rsidRPr="00864BEA" w:rsidRDefault="00A701F7" w:rsidP="001F0251">
            <w:pPr>
              <w:tabs>
                <w:tab w:val="decimal" w:pos="170"/>
              </w:tabs>
              <w:adjustRightInd w:val="0"/>
              <w:snapToGrid w:val="0"/>
              <w:ind w:firstLineChars="0" w:firstLine="0"/>
              <w:cnfStyle w:val="000000000000"/>
              <w:rPr>
                <w:rFonts w:eastAsiaTheme="minorEastAsia"/>
                <w:sz w:val="18"/>
                <w:szCs w:val="18"/>
              </w:rPr>
            </w:pPr>
            <w:r w:rsidRPr="00864BEA">
              <w:rPr>
                <w:rFonts w:eastAsiaTheme="minorEastAsia"/>
                <w:sz w:val="18"/>
                <w:szCs w:val="18"/>
              </w:rPr>
              <w:t>0.046</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000000"/>
              <w:rPr>
                <w:sz w:val="18"/>
                <w:szCs w:val="18"/>
              </w:rPr>
            </w:pPr>
            <w:r w:rsidRPr="00A701F7">
              <w:rPr>
                <w:sz w:val="18"/>
                <w:szCs w:val="18"/>
              </w:rPr>
              <w:t>0.2444</w:t>
            </w:r>
          </w:p>
        </w:tc>
        <w:tc>
          <w:tcPr>
            <w:tcW w:w="1883" w:type="dxa"/>
            <w:shd w:val="clear" w:color="auto" w:fill="auto"/>
            <w:noWrap/>
            <w:vAlign w:val="center"/>
            <w:hideMark/>
          </w:tcPr>
          <w:p w:rsidR="00A701F7" w:rsidRPr="00A701F7" w:rsidRDefault="00A701F7" w:rsidP="001F0251">
            <w:pPr>
              <w:adjustRightInd w:val="0"/>
              <w:snapToGrid w:val="0"/>
              <w:ind w:firstLineChars="0" w:firstLine="0"/>
              <w:cnfStyle w:val="000000000000"/>
              <w:rPr>
                <w:sz w:val="18"/>
                <w:szCs w:val="18"/>
              </w:rPr>
            </w:pPr>
            <w:r w:rsidRPr="00A701F7">
              <w:rPr>
                <w:sz w:val="18"/>
                <w:szCs w:val="18"/>
              </w:rPr>
              <w:t>0.4392</w:t>
            </w:r>
          </w:p>
        </w:tc>
      </w:tr>
      <w:tr w:rsidR="00A701F7" w:rsidRPr="00A701F7" w:rsidTr="00864BEA">
        <w:trPr>
          <w:cnfStyle w:val="000000100000"/>
          <w:trHeight w:val="270"/>
          <w:jc w:val="center"/>
        </w:trPr>
        <w:tc>
          <w:tcPr>
            <w:cnfStyle w:val="001000000000"/>
            <w:tcW w:w="1882" w:type="dxa"/>
            <w:shd w:val="clear" w:color="auto" w:fill="auto"/>
            <w:noWrap/>
            <w:vAlign w:val="center"/>
            <w:hideMark/>
          </w:tcPr>
          <w:p w:rsidR="00A701F7" w:rsidRPr="00864BEA" w:rsidRDefault="00A701F7" w:rsidP="001F0251">
            <w:pPr>
              <w:tabs>
                <w:tab w:val="decimal" w:pos="255"/>
              </w:tabs>
              <w:adjustRightInd w:val="0"/>
              <w:snapToGrid w:val="0"/>
              <w:ind w:firstLineChars="0" w:firstLine="0"/>
              <w:rPr>
                <w:rFonts w:eastAsiaTheme="minorEastAsia"/>
                <w:b w:val="0"/>
                <w:sz w:val="18"/>
                <w:szCs w:val="18"/>
              </w:rPr>
            </w:pPr>
            <w:r w:rsidRPr="00864BEA">
              <w:rPr>
                <w:rFonts w:eastAsiaTheme="minorEastAsia"/>
                <w:b w:val="0"/>
                <w:sz w:val="18"/>
                <w:szCs w:val="18"/>
              </w:rPr>
              <w:t>8</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50</w:t>
            </w:r>
          </w:p>
        </w:tc>
        <w:tc>
          <w:tcPr>
            <w:tcW w:w="1883" w:type="dxa"/>
            <w:shd w:val="clear" w:color="auto" w:fill="auto"/>
            <w:noWrap/>
            <w:vAlign w:val="center"/>
            <w:hideMark/>
          </w:tcPr>
          <w:p w:rsidR="00A701F7" w:rsidRPr="00864BEA" w:rsidRDefault="00A701F7" w:rsidP="001F0251">
            <w:pPr>
              <w:tabs>
                <w:tab w:val="decimal" w:pos="170"/>
              </w:tabs>
              <w:adjustRightInd w:val="0"/>
              <w:snapToGrid w:val="0"/>
              <w:ind w:firstLineChars="0" w:firstLine="0"/>
              <w:cnfStyle w:val="000000100000"/>
              <w:rPr>
                <w:rFonts w:eastAsiaTheme="minorEastAsia"/>
                <w:sz w:val="18"/>
                <w:szCs w:val="18"/>
              </w:rPr>
            </w:pPr>
            <w:r w:rsidRPr="00864BEA">
              <w:rPr>
                <w:rFonts w:eastAsiaTheme="minorEastAsia"/>
                <w:sz w:val="18"/>
                <w:szCs w:val="18"/>
              </w:rPr>
              <w:t>-0.052</w:t>
            </w:r>
          </w:p>
        </w:tc>
        <w:tc>
          <w:tcPr>
            <w:tcW w:w="1882" w:type="dxa"/>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0.2426</w:t>
            </w:r>
          </w:p>
        </w:tc>
        <w:tc>
          <w:tcPr>
            <w:tcW w:w="1883" w:type="dxa"/>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0.1014</w:t>
            </w:r>
          </w:p>
        </w:tc>
      </w:tr>
      <w:tr w:rsidR="00A701F7" w:rsidRPr="00A701F7" w:rsidTr="00864BEA">
        <w:trPr>
          <w:trHeight w:val="270"/>
          <w:jc w:val="center"/>
        </w:trPr>
        <w:tc>
          <w:tcPr>
            <w:cnfStyle w:val="001000000000"/>
            <w:tcW w:w="1882" w:type="dxa"/>
            <w:tcBorders>
              <w:bottom w:val="nil"/>
            </w:tcBorders>
            <w:shd w:val="clear" w:color="auto" w:fill="auto"/>
            <w:noWrap/>
            <w:vAlign w:val="center"/>
            <w:hideMark/>
          </w:tcPr>
          <w:p w:rsidR="00A701F7" w:rsidRPr="00864BEA" w:rsidRDefault="00A701F7" w:rsidP="001F0251">
            <w:pPr>
              <w:tabs>
                <w:tab w:val="decimal" w:pos="255"/>
              </w:tabs>
              <w:adjustRightInd w:val="0"/>
              <w:snapToGrid w:val="0"/>
              <w:ind w:firstLineChars="0" w:firstLine="0"/>
              <w:rPr>
                <w:rFonts w:eastAsiaTheme="minorEastAsia"/>
                <w:b w:val="0"/>
                <w:sz w:val="18"/>
                <w:szCs w:val="18"/>
              </w:rPr>
            </w:pPr>
            <w:r w:rsidRPr="00864BEA">
              <w:rPr>
                <w:rFonts w:eastAsiaTheme="minorEastAsia"/>
                <w:b w:val="0"/>
                <w:sz w:val="18"/>
                <w:szCs w:val="18"/>
              </w:rPr>
              <w:t>9</w:t>
            </w:r>
          </w:p>
        </w:tc>
        <w:tc>
          <w:tcPr>
            <w:tcW w:w="1882" w:type="dxa"/>
            <w:tcBorders>
              <w:bottom w:val="nil"/>
            </w:tcBorders>
            <w:shd w:val="clear" w:color="auto" w:fill="auto"/>
            <w:noWrap/>
            <w:vAlign w:val="center"/>
            <w:hideMark/>
          </w:tcPr>
          <w:p w:rsidR="00A701F7" w:rsidRPr="00A701F7" w:rsidRDefault="00A701F7" w:rsidP="001F0251">
            <w:pPr>
              <w:adjustRightInd w:val="0"/>
              <w:snapToGrid w:val="0"/>
              <w:ind w:firstLineChars="0" w:firstLine="0"/>
              <w:cnfStyle w:val="000000000000"/>
              <w:rPr>
                <w:sz w:val="18"/>
                <w:szCs w:val="18"/>
              </w:rPr>
            </w:pPr>
            <w:r w:rsidRPr="00A701F7">
              <w:rPr>
                <w:sz w:val="18"/>
                <w:szCs w:val="18"/>
              </w:rPr>
              <w:t>50</w:t>
            </w:r>
          </w:p>
        </w:tc>
        <w:tc>
          <w:tcPr>
            <w:tcW w:w="1883" w:type="dxa"/>
            <w:tcBorders>
              <w:bottom w:val="nil"/>
            </w:tcBorders>
            <w:shd w:val="clear" w:color="auto" w:fill="auto"/>
            <w:noWrap/>
            <w:vAlign w:val="center"/>
            <w:hideMark/>
          </w:tcPr>
          <w:p w:rsidR="00A701F7" w:rsidRPr="00864BEA" w:rsidRDefault="00A701F7" w:rsidP="001F0251">
            <w:pPr>
              <w:tabs>
                <w:tab w:val="decimal" w:pos="170"/>
              </w:tabs>
              <w:adjustRightInd w:val="0"/>
              <w:snapToGrid w:val="0"/>
              <w:ind w:firstLineChars="0" w:firstLine="0"/>
              <w:cnfStyle w:val="000000000000"/>
              <w:rPr>
                <w:rFonts w:eastAsiaTheme="minorEastAsia"/>
                <w:sz w:val="18"/>
                <w:szCs w:val="18"/>
              </w:rPr>
            </w:pPr>
            <w:r w:rsidRPr="00864BEA">
              <w:rPr>
                <w:rFonts w:eastAsiaTheme="minorEastAsia"/>
                <w:sz w:val="18"/>
                <w:szCs w:val="18"/>
              </w:rPr>
              <w:t>-0.075</w:t>
            </w:r>
          </w:p>
        </w:tc>
        <w:tc>
          <w:tcPr>
            <w:tcW w:w="1882" w:type="dxa"/>
            <w:tcBorders>
              <w:bottom w:val="nil"/>
            </w:tcBorders>
            <w:shd w:val="clear" w:color="auto" w:fill="auto"/>
            <w:noWrap/>
            <w:vAlign w:val="center"/>
            <w:hideMark/>
          </w:tcPr>
          <w:p w:rsidR="00A701F7" w:rsidRPr="00A701F7" w:rsidRDefault="00A701F7" w:rsidP="001F0251">
            <w:pPr>
              <w:adjustRightInd w:val="0"/>
              <w:snapToGrid w:val="0"/>
              <w:ind w:firstLineChars="0" w:firstLine="0"/>
              <w:cnfStyle w:val="000000000000"/>
              <w:rPr>
                <w:sz w:val="18"/>
                <w:szCs w:val="18"/>
              </w:rPr>
            </w:pPr>
            <w:r w:rsidRPr="00A701F7">
              <w:rPr>
                <w:sz w:val="18"/>
                <w:szCs w:val="18"/>
              </w:rPr>
              <w:t>0.3572</w:t>
            </w:r>
          </w:p>
        </w:tc>
        <w:tc>
          <w:tcPr>
            <w:tcW w:w="1883" w:type="dxa"/>
            <w:tcBorders>
              <w:bottom w:val="nil"/>
            </w:tcBorders>
            <w:shd w:val="clear" w:color="auto" w:fill="auto"/>
            <w:noWrap/>
            <w:vAlign w:val="center"/>
            <w:hideMark/>
          </w:tcPr>
          <w:p w:rsidR="00A701F7" w:rsidRPr="00A701F7" w:rsidRDefault="00A701F7" w:rsidP="001F0251">
            <w:pPr>
              <w:adjustRightInd w:val="0"/>
              <w:snapToGrid w:val="0"/>
              <w:ind w:firstLineChars="0" w:firstLine="0"/>
              <w:cnfStyle w:val="000000000000"/>
              <w:rPr>
                <w:sz w:val="18"/>
                <w:szCs w:val="18"/>
              </w:rPr>
            </w:pPr>
            <w:r w:rsidRPr="00A701F7">
              <w:rPr>
                <w:sz w:val="18"/>
                <w:szCs w:val="18"/>
              </w:rPr>
              <w:t>1.1150</w:t>
            </w:r>
          </w:p>
        </w:tc>
      </w:tr>
      <w:tr w:rsidR="00A701F7" w:rsidRPr="00A701F7" w:rsidTr="00864BEA">
        <w:trPr>
          <w:cnfStyle w:val="000000100000"/>
          <w:trHeight w:val="270"/>
          <w:jc w:val="center"/>
        </w:trPr>
        <w:tc>
          <w:tcPr>
            <w:cnfStyle w:val="001000000000"/>
            <w:tcW w:w="1882" w:type="dxa"/>
            <w:tcBorders>
              <w:top w:val="nil"/>
              <w:bottom w:val="single" w:sz="12" w:space="0" w:color="000000" w:themeColor="text1"/>
            </w:tcBorders>
            <w:shd w:val="clear" w:color="auto" w:fill="auto"/>
            <w:noWrap/>
            <w:vAlign w:val="center"/>
            <w:hideMark/>
          </w:tcPr>
          <w:p w:rsidR="00A701F7" w:rsidRPr="00864BEA" w:rsidRDefault="00A701F7" w:rsidP="001F0251">
            <w:pPr>
              <w:tabs>
                <w:tab w:val="decimal" w:pos="255"/>
              </w:tabs>
              <w:adjustRightInd w:val="0"/>
              <w:snapToGrid w:val="0"/>
              <w:ind w:firstLineChars="0" w:firstLine="0"/>
              <w:rPr>
                <w:rFonts w:eastAsiaTheme="minorEastAsia"/>
                <w:b w:val="0"/>
                <w:sz w:val="18"/>
                <w:szCs w:val="18"/>
              </w:rPr>
            </w:pPr>
            <w:r w:rsidRPr="00864BEA">
              <w:rPr>
                <w:rFonts w:eastAsiaTheme="minorEastAsia"/>
                <w:b w:val="0"/>
                <w:sz w:val="18"/>
                <w:szCs w:val="18"/>
              </w:rPr>
              <w:t>10</w:t>
            </w:r>
          </w:p>
        </w:tc>
        <w:tc>
          <w:tcPr>
            <w:tcW w:w="1882" w:type="dxa"/>
            <w:tcBorders>
              <w:top w:val="nil"/>
              <w:bottom w:val="single" w:sz="12" w:space="0" w:color="000000" w:themeColor="text1"/>
            </w:tcBorders>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50</w:t>
            </w:r>
          </w:p>
        </w:tc>
        <w:tc>
          <w:tcPr>
            <w:tcW w:w="1883" w:type="dxa"/>
            <w:tcBorders>
              <w:top w:val="nil"/>
              <w:bottom w:val="single" w:sz="12" w:space="0" w:color="000000" w:themeColor="text1"/>
            </w:tcBorders>
            <w:shd w:val="clear" w:color="auto" w:fill="auto"/>
            <w:noWrap/>
            <w:vAlign w:val="center"/>
            <w:hideMark/>
          </w:tcPr>
          <w:p w:rsidR="00A701F7" w:rsidRPr="00864BEA" w:rsidRDefault="00A701F7" w:rsidP="001F0251">
            <w:pPr>
              <w:tabs>
                <w:tab w:val="decimal" w:pos="170"/>
              </w:tabs>
              <w:adjustRightInd w:val="0"/>
              <w:snapToGrid w:val="0"/>
              <w:ind w:firstLineChars="0" w:firstLine="0"/>
              <w:cnfStyle w:val="000000100000"/>
              <w:rPr>
                <w:rFonts w:eastAsiaTheme="minorEastAsia"/>
                <w:sz w:val="18"/>
                <w:szCs w:val="18"/>
              </w:rPr>
            </w:pPr>
            <w:r w:rsidRPr="00864BEA">
              <w:rPr>
                <w:rFonts w:eastAsiaTheme="minorEastAsia"/>
                <w:sz w:val="18"/>
                <w:szCs w:val="18"/>
              </w:rPr>
              <w:t>-0.118</w:t>
            </w:r>
          </w:p>
        </w:tc>
        <w:tc>
          <w:tcPr>
            <w:tcW w:w="1882" w:type="dxa"/>
            <w:tcBorders>
              <w:top w:val="nil"/>
              <w:bottom w:val="single" w:sz="12" w:space="0" w:color="000000" w:themeColor="text1"/>
            </w:tcBorders>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0.6224</w:t>
            </w:r>
          </w:p>
        </w:tc>
        <w:tc>
          <w:tcPr>
            <w:tcW w:w="1883" w:type="dxa"/>
            <w:tcBorders>
              <w:top w:val="nil"/>
              <w:bottom w:val="single" w:sz="12" w:space="0" w:color="000000" w:themeColor="text1"/>
            </w:tcBorders>
            <w:shd w:val="clear" w:color="auto" w:fill="auto"/>
            <w:noWrap/>
            <w:vAlign w:val="center"/>
            <w:hideMark/>
          </w:tcPr>
          <w:p w:rsidR="00A701F7" w:rsidRPr="00A701F7" w:rsidRDefault="00A701F7" w:rsidP="001F0251">
            <w:pPr>
              <w:adjustRightInd w:val="0"/>
              <w:snapToGrid w:val="0"/>
              <w:ind w:firstLineChars="0" w:firstLine="0"/>
              <w:cnfStyle w:val="000000100000"/>
              <w:rPr>
                <w:sz w:val="18"/>
                <w:szCs w:val="18"/>
              </w:rPr>
            </w:pPr>
            <w:r w:rsidRPr="00A701F7">
              <w:rPr>
                <w:sz w:val="18"/>
                <w:szCs w:val="18"/>
              </w:rPr>
              <w:t>0.8833</w:t>
            </w:r>
          </w:p>
        </w:tc>
      </w:tr>
    </w:tbl>
    <w:p w:rsidR="00A701F7" w:rsidRDefault="00A701F7" w:rsidP="001F0251">
      <w:pPr>
        <w:snapToGrid w:val="0"/>
        <w:spacing w:line="288" w:lineRule="auto"/>
        <w:ind w:firstLineChars="0" w:firstLine="0"/>
      </w:pPr>
      <w:r w:rsidRPr="00A701F7">
        <w:rPr>
          <w:rFonts w:hint="eastAsia"/>
          <w:i/>
          <w:sz w:val="18"/>
          <w:szCs w:val="18"/>
        </w:rPr>
        <w:t>Note</w:t>
      </w:r>
      <w:r>
        <w:rPr>
          <w:rFonts w:hint="eastAsia"/>
          <w:sz w:val="18"/>
          <w:szCs w:val="18"/>
        </w:rPr>
        <w:t xml:space="preserve">. </w:t>
      </w:r>
      <w:r w:rsidRPr="007D270E">
        <w:rPr>
          <w:sz w:val="18"/>
          <w:szCs w:val="18"/>
          <w:vertAlign w:val="superscript"/>
        </w:rPr>
        <w:t>***</w:t>
      </w:r>
      <w:r w:rsidR="007D270E">
        <w:rPr>
          <w:rFonts w:hint="eastAsia"/>
          <w:sz w:val="18"/>
          <w:szCs w:val="18"/>
        </w:rPr>
        <w:t xml:space="preserve">, </w:t>
      </w:r>
      <w:r w:rsidR="007D270E" w:rsidRPr="007D270E">
        <w:rPr>
          <w:sz w:val="18"/>
          <w:szCs w:val="18"/>
          <w:vertAlign w:val="superscript"/>
        </w:rPr>
        <w:t>**</w:t>
      </w:r>
      <w:r w:rsidR="007D270E">
        <w:rPr>
          <w:rFonts w:hint="eastAsia"/>
          <w:sz w:val="18"/>
          <w:szCs w:val="18"/>
        </w:rPr>
        <w:t xml:space="preserve">, and </w:t>
      </w:r>
      <w:r w:rsidR="007D270E" w:rsidRPr="007D270E">
        <w:rPr>
          <w:sz w:val="18"/>
          <w:szCs w:val="18"/>
          <w:vertAlign w:val="superscript"/>
        </w:rPr>
        <w:t>*</w:t>
      </w:r>
      <w:r w:rsidR="007D270E" w:rsidRPr="007D270E">
        <w:rPr>
          <w:rFonts w:hint="eastAsia"/>
          <w:sz w:val="18"/>
          <w:szCs w:val="18"/>
        </w:rPr>
        <w:t xml:space="preserve"> </w:t>
      </w:r>
      <w:r w:rsidRPr="007D270E">
        <w:rPr>
          <w:sz w:val="18"/>
          <w:szCs w:val="18"/>
        </w:rPr>
        <w:t>i</w:t>
      </w:r>
      <w:r w:rsidR="007D270E">
        <w:rPr>
          <w:sz w:val="18"/>
          <w:szCs w:val="18"/>
        </w:rPr>
        <w:t>ndicate</w:t>
      </w:r>
      <w:r w:rsidRPr="00A701F7">
        <w:rPr>
          <w:sz w:val="18"/>
          <w:szCs w:val="18"/>
        </w:rPr>
        <w:t xml:space="preserve"> significance at </w:t>
      </w:r>
      <w:r w:rsidR="007D270E">
        <w:rPr>
          <w:rFonts w:hint="eastAsia"/>
          <w:sz w:val="18"/>
          <w:szCs w:val="18"/>
        </w:rPr>
        <w:t>the levels of 0</w:t>
      </w:r>
      <w:r w:rsidRPr="00A701F7">
        <w:rPr>
          <w:sz w:val="18"/>
          <w:szCs w:val="18"/>
        </w:rPr>
        <w:t>.01</w:t>
      </w:r>
      <w:r w:rsidR="007D270E">
        <w:rPr>
          <w:rFonts w:hint="eastAsia"/>
          <w:sz w:val="18"/>
          <w:szCs w:val="18"/>
        </w:rPr>
        <w:t>, 0.</w:t>
      </w:r>
      <w:r w:rsidR="007D270E">
        <w:rPr>
          <w:sz w:val="18"/>
          <w:szCs w:val="18"/>
        </w:rPr>
        <w:t>05, and</w:t>
      </w:r>
      <w:r w:rsidR="007D270E">
        <w:rPr>
          <w:rFonts w:hint="eastAsia"/>
          <w:sz w:val="18"/>
          <w:szCs w:val="18"/>
        </w:rPr>
        <w:t xml:space="preserve"> 0</w:t>
      </w:r>
      <w:r w:rsidR="007D270E">
        <w:rPr>
          <w:sz w:val="18"/>
          <w:szCs w:val="18"/>
        </w:rPr>
        <w:t>.10</w:t>
      </w:r>
      <w:r w:rsidRPr="00A701F7">
        <w:rPr>
          <w:sz w:val="18"/>
          <w:szCs w:val="18"/>
        </w:rPr>
        <w:t xml:space="preserve"> </w:t>
      </w:r>
      <w:r w:rsidR="007D270E">
        <w:rPr>
          <w:rFonts w:hint="eastAsia"/>
          <w:sz w:val="18"/>
          <w:szCs w:val="18"/>
        </w:rPr>
        <w:t>(</w:t>
      </w:r>
      <w:r w:rsidRPr="00A701F7">
        <w:rPr>
          <w:sz w:val="18"/>
          <w:szCs w:val="18"/>
        </w:rPr>
        <w:t>two-tailed test</w:t>
      </w:r>
      <w:r w:rsidR="007D270E">
        <w:rPr>
          <w:rFonts w:hint="eastAsia"/>
          <w:sz w:val="18"/>
          <w:szCs w:val="18"/>
        </w:rPr>
        <w:t>)</w:t>
      </w:r>
      <w:r>
        <w:rPr>
          <w:rFonts w:hint="eastAsia"/>
        </w:rPr>
        <w:t>.</w:t>
      </w:r>
    </w:p>
    <w:p w:rsidR="00A701F7" w:rsidRPr="00A701F7" w:rsidRDefault="00A701F7" w:rsidP="001F0251">
      <w:pPr>
        <w:ind w:firstLine="420"/>
      </w:pPr>
      <w:r w:rsidRPr="00A701F7">
        <w:lastRenderedPageBreak/>
        <w:t xml:space="preserve">We interpret this result of </w:t>
      </w:r>
      <w:r w:rsidR="00245ACB" w:rsidRPr="00A701F7">
        <w:t xml:space="preserve">Table </w:t>
      </w:r>
      <w:r w:rsidRPr="00A701F7">
        <w:t>1 as follows. We suppose that a tax inquiry</w:t>
      </w:r>
      <w:r w:rsidR="00245ACB">
        <w:rPr>
          <w:rFonts w:hint="eastAsia"/>
        </w:rPr>
        <w:t>,</w:t>
      </w:r>
      <w:r w:rsidRPr="00A701F7">
        <w:t xml:space="preserve"> called</w:t>
      </w:r>
      <w:r w:rsidR="00245ACB">
        <w:rPr>
          <w:rFonts w:hint="eastAsia"/>
        </w:rPr>
        <w:t xml:space="preserve"> </w:t>
      </w:r>
      <w:r w:rsidRPr="00A701F7">
        <w:t xml:space="preserve">a </w:t>
      </w:r>
      <w:r w:rsidR="00245ACB">
        <w:t>“</w:t>
      </w:r>
      <w:hyperlink r:id="rId19" w:tooltip="notice of correction or determinationの意味" w:history="1">
        <w:r w:rsidR="00245ACB" w:rsidRPr="00A701F7">
          <w:t xml:space="preserve">notice </w:t>
        </w:r>
        <w:r w:rsidRPr="00A701F7">
          <w:t>of correction</w:t>
        </w:r>
      </w:hyperlink>
      <w:r w:rsidR="00245ACB">
        <w:t>”</w:t>
      </w:r>
      <w:r w:rsidR="004A408F">
        <w:rPr>
          <w:rFonts w:hint="eastAsia"/>
        </w:rPr>
        <w:t>,</w:t>
      </w:r>
      <w:r w:rsidR="00245ACB">
        <w:rPr>
          <w:rFonts w:hint="eastAsia"/>
        </w:rPr>
        <w:t xml:space="preserve"> </w:t>
      </w:r>
      <w:r w:rsidRPr="00A701F7">
        <w:t>is</w:t>
      </w:r>
      <w:r w:rsidR="00245ACB">
        <w:rPr>
          <w:rFonts w:hint="eastAsia"/>
        </w:rPr>
        <w:t xml:space="preserve"> </w:t>
      </w:r>
      <w:r w:rsidRPr="00A701F7">
        <w:t xml:space="preserve">sent before the TPT news </w:t>
      </w:r>
      <w:r w:rsidR="004A408F">
        <w:rPr>
          <w:rFonts w:hint="eastAsia"/>
        </w:rPr>
        <w:t xml:space="preserve">is </w:t>
      </w:r>
      <w:r w:rsidRPr="00A701F7">
        <w:t>released by JTA.</w:t>
      </w:r>
      <w:r w:rsidR="00245ACB">
        <w:rPr>
          <w:rFonts w:hint="eastAsia"/>
        </w:rPr>
        <w:t xml:space="preserve"> </w:t>
      </w:r>
      <w:r w:rsidRPr="00A701F7">
        <w:t xml:space="preserve">In addition, we think that investors notice the delivery of the </w:t>
      </w:r>
      <w:r w:rsidR="00245ACB">
        <w:t>“</w:t>
      </w:r>
      <w:hyperlink r:id="rId20" w:tooltip="notice of correction or determinationの意味" w:history="1">
        <w:r w:rsidR="00245ACB" w:rsidRPr="00A701F7">
          <w:t xml:space="preserve">notice </w:t>
        </w:r>
        <w:r w:rsidRPr="00A701F7">
          <w:t>of correction</w:t>
        </w:r>
      </w:hyperlink>
      <w:r w:rsidR="00245ACB">
        <w:t>”</w:t>
      </w:r>
      <w:r w:rsidRPr="00A701F7">
        <w:t xml:space="preserve"> by JTA before the news report, because the market reacts too negatively for </w:t>
      </w:r>
      <w:r w:rsidR="00245ACB">
        <w:rPr>
          <w:rFonts w:hint="eastAsia"/>
        </w:rPr>
        <w:t>three</w:t>
      </w:r>
      <w:r w:rsidRPr="00A701F7">
        <w:t xml:space="preserve"> days immediately before the newspaper report.</w:t>
      </w:r>
      <w:r w:rsidR="00245ACB">
        <w:rPr>
          <w:rFonts w:hint="eastAsia"/>
        </w:rPr>
        <w:t xml:space="preserve"> </w:t>
      </w:r>
      <w:r w:rsidRPr="00A701F7">
        <w:t>To test this conjecture, we analyze CAR by calculating it for different periods and identifying those for which there is a strong reaction. Untabulated</w:t>
      </w:r>
      <w:r w:rsidR="00245ACB">
        <w:rPr>
          <w:rFonts w:hint="eastAsia"/>
        </w:rPr>
        <w:t xml:space="preserve"> </w:t>
      </w:r>
      <w:r w:rsidRPr="00A701F7">
        <w:t>results indicate that CARs</w:t>
      </w:r>
      <w:r w:rsidR="00245ACB">
        <w:rPr>
          <w:rFonts w:hint="eastAsia"/>
        </w:rPr>
        <w:t xml:space="preserve"> </w:t>
      </w:r>
      <w:r w:rsidRPr="00A701F7">
        <w:t>for the</w:t>
      </w:r>
      <w:r w:rsidR="00245ACB">
        <w:rPr>
          <w:rFonts w:hint="eastAsia"/>
        </w:rPr>
        <w:t xml:space="preserve"> </w:t>
      </w:r>
      <w:r w:rsidRPr="00A701F7">
        <w:t>proximate</w:t>
      </w:r>
      <w:r w:rsidR="00245ACB">
        <w:rPr>
          <w:rFonts w:hint="eastAsia"/>
        </w:rPr>
        <w:t xml:space="preserve"> </w:t>
      </w:r>
      <w:r w:rsidRPr="00A701F7">
        <w:t>period around the news release date exhibit</w:t>
      </w:r>
      <w:r w:rsidR="00245ACB">
        <w:rPr>
          <w:rFonts w:hint="eastAsia"/>
        </w:rPr>
        <w:t xml:space="preserve"> </w:t>
      </w:r>
      <w:r w:rsidRPr="00A701F7">
        <w:t>strong reactions.</w:t>
      </w:r>
    </w:p>
    <w:p w:rsidR="00A701F7" w:rsidRPr="00A701F7" w:rsidRDefault="00A701F7" w:rsidP="0026344E">
      <w:pPr>
        <w:pStyle w:val="1"/>
        <w:keepNext w:val="0"/>
        <w:keepLines w:val="0"/>
        <w:widowControl w:val="0"/>
        <w:suppressAutoHyphens/>
        <w:kinsoku w:val="0"/>
        <w:overflowPunct w:val="0"/>
        <w:autoSpaceDE w:val="0"/>
        <w:autoSpaceDN w:val="0"/>
        <w:spacing w:beforeLines="50" w:afterLines="30" w:line="240" w:lineRule="auto"/>
        <w:ind w:left="0" w:firstLine="0"/>
        <w:textAlignment w:val="baseline"/>
        <w:rPr>
          <w:szCs w:val="21"/>
        </w:rPr>
      </w:pPr>
      <w:r w:rsidRPr="00A701F7">
        <w:rPr>
          <w:szCs w:val="21"/>
        </w:rPr>
        <w:t>Hypothes</w:t>
      </w:r>
      <w:r w:rsidR="00245ACB">
        <w:rPr>
          <w:rFonts w:eastAsiaTheme="minorEastAsia" w:hint="eastAsia"/>
          <w:szCs w:val="21"/>
          <w:lang w:eastAsia="zh-CN"/>
        </w:rPr>
        <w:t>e</w:t>
      </w:r>
      <w:r w:rsidRPr="00A701F7">
        <w:rPr>
          <w:szCs w:val="21"/>
        </w:rPr>
        <w:t>s Development</w:t>
      </w:r>
    </w:p>
    <w:p w:rsidR="00A701F7" w:rsidRPr="00A701F7" w:rsidRDefault="00A701F7" w:rsidP="001F0251">
      <w:pPr>
        <w:ind w:firstLine="420"/>
        <w:rPr>
          <w:color w:val="000000"/>
        </w:rPr>
      </w:pPr>
      <w:r w:rsidRPr="00A701F7">
        <w:rPr>
          <w:color w:val="000000"/>
        </w:rPr>
        <w:t>In Section 3, we perform</w:t>
      </w:r>
      <w:r w:rsidR="00245ACB">
        <w:rPr>
          <w:rFonts w:hint="eastAsia"/>
          <w:color w:val="000000"/>
        </w:rPr>
        <w:t xml:space="preserve"> </w:t>
      </w:r>
      <w:r w:rsidRPr="00A701F7">
        <w:rPr>
          <w:color w:val="000000"/>
        </w:rPr>
        <w:t>an event</w:t>
      </w:r>
      <w:r w:rsidR="00245ACB">
        <w:rPr>
          <w:rFonts w:hint="eastAsia"/>
          <w:color w:val="000000"/>
        </w:rPr>
        <w:t xml:space="preserve"> </w:t>
      </w:r>
      <w:r w:rsidRPr="00A701F7">
        <w:rPr>
          <w:color w:val="000000"/>
        </w:rPr>
        <w:t>study of how the market reacts to newspaper reports of TPT being applied and reveal that the capital market showed significant</w:t>
      </w:r>
      <w:r w:rsidR="00245ACB">
        <w:rPr>
          <w:rFonts w:hint="eastAsia"/>
          <w:color w:val="000000"/>
        </w:rPr>
        <w:t xml:space="preserve"> </w:t>
      </w:r>
      <w:r w:rsidRPr="00A701F7">
        <w:rPr>
          <w:color w:val="000000"/>
        </w:rPr>
        <w:t>negative reactions</w:t>
      </w:r>
      <w:r w:rsidR="00245ACB">
        <w:rPr>
          <w:rFonts w:hint="eastAsia"/>
          <w:color w:val="000000"/>
        </w:rPr>
        <w:t xml:space="preserve"> </w:t>
      </w:r>
      <w:r w:rsidRPr="00A701F7">
        <w:rPr>
          <w:color w:val="000000"/>
        </w:rPr>
        <w:t>to the newspaper reports. However, it is also necessary for us to think about how the financing information attribute of the company has an influence that might produce such a market reaction. We assume that the application of TPT is caused by lack of tax compliance and inadequacy of tax management</w:t>
      </w:r>
      <w:r w:rsidRPr="00A701F7">
        <w:t>.</w:t>
      </w:r>
      <w:r w:rsidRPr="00A701F7">
        <w:rPr>
          <w:color w:val="000000"/>
        </w:rPr>
        <w:t xml:space="preserve"> The company to which TPT was applied can be said to have weak </w:t>
      </w:r>
      <w:r w:rsidR="00245ACB">
        <w:rPr>
          <w:color w:val="000000"/>
        </w:rPr>
        <w:t>CG</w:t>
      </w:r>
      <w:r w:rsidRPr="00A701F7">
        <w:rPr>
          <w:color w:val="000000"/>
        </w:rPr>
        <w:t>. Therefore, we investigate</w:t>
      </w:r>
      <w:r w:rsidR="00245ACB">
        <w:rPr>
          <w:rFonts w:hint="eastAsia"/>
          <w:color w:val="000000"/>
        </w:rPr>
        <w:t xml:space="preserve"> </w:t>
      </w:r>
      <w:r w:rsidRPr="00A701F7">
        <w:rPr>
          <w:color w:val="000000"/>
        </w:rPr>
        <w:t>what kinds of factors of the company trigger the reaction in the capital market for the newspaper report day and the following day.</w:t>
      </w:r>
    </w:p>
    <w:p w:rsidR="00A701F7" w:rsidRPr="00A701F7" w:rsidRDefault="00A701F7" w:rsidP="001F0251">
      <w:pPr>
        <w:ind w:firstLine="420"/>
        <w:rPr>
          <w:color w:val="000000"/>
        </w:rPr>
      </w:pPr>
      <w:r w:rsidRPr="00A701F7">
        <w:rPr>
          <w:color w:val="000000"/>
        </w:rPr>
        <w:t>To examine the association of application of TPT and market evaluation, it is necessary for us to rethink the cause of the reaction in the market.</w:t>
      </w:r>
      <w:r w:rsidR="00245ACB">
        <w:rPr>
          <w:rFonts w:hint="eastAsia"/>
          <w:color w:val="000000"/>
        </w:rPr>
        <w:t xml:space="preserve"> </w:t>
      </w:r>
      <w:r w:rsidRPr="00A701F7">
        <w:rPr>
          <w:color w:val="000000"/>
        </w:rPr>
        <w:t>Stock market prices are based on future value discounted to the</w:t>
      </w:r>
      <w:r w:rsidR="00245ACB">
        <w:rPr>
          <w:rFonts w:hint="eastAsia"/>
          <w:color w:val="000000"/>
        </w:rPr>
        <w:t xml:space="preserve"> </w:t>
      </w:r>
      <w:r w:rsidRPr="00A701F7">
        <w:rPr>
          <w:color w:val="000000"/>
        </w:rPr>
        <w:t xml:space="preserve">present value. In terms </w:t>
      </w:r>
      <w:r w:rsidR="00245ACB">
        <w:rPr>
          <w:rFonts w:hint="eastAsia"/>
          <w:color w:val="000000"/>
        </w:rPr>
        <w:t xml:space="preserve">of </w:t>
      </w:r>
      <w:r w:rsidRPr="00A701F7">
        <w:rPr>
          <w:color w:val="000000"/>
        </w:rPr>
        <w:t>evaluation, investors mainly regard information producing distrust about future prospects as negative information. The larger extent of information asymmetry between investors and managers is,</w:t>
      </w:r>
      <w:r w:rsidR="00245ACB">
        <w:rPr>
          <w:rFonts w:hint="eastAsia"/>
          <w:color w:val="000000"/>
        </w:rPr>
        <w:t xml:space="preserve"> </w:t>
      </w:r>
      <w:r w:rsidRPr="00A701F7">
        <w:rPr>
          <w:color w:val="000000"/>
        </w:rPr>
        <w:t>the more negative reaction distrust of investors is</w:t>
      </w:r>
      <w:r w:rsidR="00245ACB">
        <w:rPr>
          <w:rFonts w:hint="eastAsia"/>
          <w:color w:val="000000"/>
        </w:rPr>
        <w:t xml:space="preserve"> </w:t>
      </w:r>
      <w:r w:rsidRPr="00A701F7">
        <w:rPr>
          <w:color w:val="000000"/>
        </w:rPr>
        <w:t>raised.</w:t>
      </w:r>
    </w:p>
    <w:p w:rsidR="00A701F7" w:rsidRPr="00A701F7" w:rsidRDefault="00A701F7" w:rsidP="001F0251">
      <w:pPr>
        <w:ind w:firstLine="420"/>
        <w:rPr>
          <w:color w:val="000000"/>
        </w:rPr>
      </w:pPr>
      <w:r w:rsidRPr="00A701F7">
        <w:rPr>
          <w:color w:val="000000"/>
        </w:rPr>
        <w:t>Bushman</w:t>
      </w:r>
      <w:r w:rsidR="00245ACB">
        <w:rPr>
          <w:rFonts w:hint="eastAsia"/>
          <w:color w:val="000000"/>
        </w:rPr>
        <w:t>,</w:t>
      </w:r>
      <w:r w:rsidRPr="00A701F7">
        <w:rPr>
          <w:color w:val="000000"/>
        </w:rPr>
        <w:t xml:space="preserve"> </w:t>
      </w:r>
      <w:r w:rsidR="00245ACB" w:rsidRPr="00245ACB">
        <w:rPr>
          <w:color w:val="000000"/>
        </w:rPr>
        <w:t xml:space="preserve">Chen, Engel, </w:t>
      </w:r>
      <w:r w:rsidR="00245ACB">
        <w:rPr>
          <w:rFonts w:hint="eastAsia"/>
          <w:color w:val="000000"/>
        </w:rPr>
        <w:t xml:space="preserve">and </w:t>
      </w:r>
      <w:r w:rsidR="00245ACB" w:rsidRPr="00245ACB">
        <w:rPr>
          <w:color w:val="000000"/>
        </w:rPr>
        <w:t>Smith</w:t>
      </w:r>
      <w:r w:rsidR="00245ACB">
        <w:rPr>
          <w:rFonts w:hint="eastAsia"/>
          <w:color w:val="000000"/>
        </w:rPr>
        <w:t xml:space="preserve"> </w:t>
      </w:r>
      <w:r w:rsidRPr="00A701F7">
        <w:rPr>
          <w:color w:val="000000"/>
        </w:rPr>
        <w:t>(2004) insist</w:t>
      </w:r>
      <w:r w:rsidR="00245ACB">
        <w:rPr>
          <w:rFonts w:hint="eastAsia"/>
          <w:color w:val="000000"/>
        </w:rPr>
        <w:t>ed</w:t>
      </w:r>
      <w:r w:rsidRPr="00A701F7">
        <w:rPr>
          <w:color w:val="000000"/>
        </w:rPr>
        <w:t xml:space="preserve"> that for companies</w:t>
      </w:r>
      <w:r w:rsidR="00245ACB">
        <w:rPr>
          <w:rFonts w:hint="eastAsia"/>
          <w:color w:val="000000"/>
        </w:rPr>
        <w:t xml:space="preserve"> </w:t>
      </w:r>
      <w:r w:rsidRPr="00A701F7">
        <w:rPr>
          <w:color w:val="000000"/>
        </w:rPr>
        <w:t>for which transparency is lacking, to reduce</w:t>
      </w:r>
      <w:r w:rsidR="00245ACB">
        <w:rPr>
          <w:rFonts w:hint="eastAsia"/>
          <w:color w:val="000000"/>
        </w:rPr>
        <w:t xml:space="preserve"> </w:t>
      </w:r>
      <w:r w:rsidRPr="00A701F7">
        <w:rPr>
          <w:color w:val="000000"/>
        </w:rPr>
        <w:t>the agency cost</w:t>
      </w:r>
      <w:r w:rsidR="00245ACB">
        <w:rPr>
          <w:rFonts w:hint="eastAsia"/>
          <w:color w:val="000000"/>
        </w:rPr>
        <w:t xml:space="preserve"> </w:t>
      </w:r>
      <w:r w:rsidRPr="00A701F7">
        <w:rPr>
          <w:color w:val="000000"/>
        </w:rPr>
        <w:t xml:space="preserve">including a moral hazard issue, improvement of CG in </w:t>
      </w:r>
      <w:r w:rsidR="00245ACB">
        <w:rPr>
          <w:rFonts w:hint="eastAsia"/>
          <w:color w:val="000000"/>
        </w:rPr>
        <w:t>the</w:t>
      </w:r>
      <w:r w:rsidRPr="00A701F7">
        <w:rPr>
          <w:color w:val="000000"/>
        </w:rPr>
        <w:t xml:space="preserve"> firm</w:t>
      </w:r>
      <w:r w:rsidR="00245ACB">
        <w:rPr>
          <w:rFonts w:hint="eastAsia"/>
          <w:color w:val="000000"/>
        </w:rPr>
        <w:t xml:space="preserve"> should be required</w:t>
      </w:r>
      <w:r w:rsidRPr="00A701F7">
        <w:rPr>
          <w:color w:val="000000"/>
        </w:rPr>
        <w:t>. Hanlon</w:t>
      </w:r>
      <w:r w:rsidR="00245ACB">
        <w:rPr>
          <w:rFonts w:hint="eastAsia"/>
          <w:color w:val="000000"/>
        </w:rPr>
        <w:t>,</w:t>
      </w:r>
      <w:r w:rsidRPr="00A701F7">
        <w:rPr>
          <w:color w:val="000000"/>
        </w:rPr>
        <w:t xml:space="preserve"> </w:t>
      </w:r>
      <w:r w:rsidR="00245ACB" w:rsidRPr="00245ACB">
        <w:rPr>
          <w:color w:val="000000"/>
        </w:rPr>
        <w:t xml:space="preserve">Mills, </w:t>
      </w:r>
      <w:r w:rsidR="00245ACB">
        <w:rPr>
          <w:rFonts w:hint="eastAsia"/>
          <w:color w:val="000000"/>
        </w:rPr>
        <w:t>and</w:t>
      </w:r>
      <w:r w:rsidR="00245ACB">
        <w:rPr>
          <w:color w:val="000000"/>
        </w:rPr>
        <w:t xml:space="preserve"> </w:t>
      </w:r>
      <w:r w:rsidR="00245ACB" w:rsidRPr="00245ACB">
        <w:rPr>
          <w:color w:val="000000"/>
        </w:rPr>
        <w:t>Slemrod</w:t>
      </w:r>
      <w:r w:rsidRPr="00A701F7">
        <w:rPr>
          <w:color w:val="000000"/>
        </w:rPr>
        <w:t xml:space="preserve"> (2005) insist</w:t>
      </w:r>
      <w:r w:rsidR="00245ACB">
        <w:rPr>
          <w:rFonts w:hint="eastAsia"/>
          <w:color w:val="000000"/>
        </w:rPr>
        <w:t>ed</w:t>
      </w:r>
      <w:r w:rsidRPr="00A701F7">
        <w:rPr>
          <w:color w:val="000000"/>
        </w:rPr>
        <w:t xml:space="preserve"> that companies lacking compliance with respect to tax payment are large</w:t>
      </w:r>
      <w:r w:rsidR="00245ACB">
        <w:rPr>
          <w:rFonts w:hint="eastAsia"/>
          <w:color w:val="000000"/>
        </w:rPr>
        <w:t xml:space="preserve"> </w:t>
      </w:r>
      <w:r w:rsidRPr="00A701F7">
        <w:rPr>
          <w:color w:val="000000"/>
        </w:rPr>
        <w:t>and this tendency is especially true in MNCs. In addition, Lassila</w:t>
      </w:r>
      <w:r w:rsidR="00245ACB">
        <w:rPr>
          <w:rFonts w:hint="eastAsia"/>
          <w:color w:val="000000"/>
        </w:rPr>
        <w:t>,</w:t>
      </w:r>
      <w:r w:rsidRPr="00A701F7">
        <w:rPr>
          <w:color w:val="000000"/>
        </w:rPr>
        <w:t xml:space="preserve"> </w:t>
      </w:r>
      <w:r w:rsidR="00245ACB" w:rsidRPr="00245ACB">
        <w:rPr>
          <w:color w:val="000000"/>
        </w:rPr>
        <w:t xml:space="preserve">Omer, Shelley, </w:t>
      </w:r>
      <w:r w:rsidR="00245ACB">
        <w:rPr>
          <w:rFonts w:hint="eastAsia"/>
          <w:color w:val="000000"/>
        </w:rPr>
        <w:t xml:space="preserve">and </w:t>
      </w:r>
      <w:r w:rsidR="00245ACB" w:rsidRPr="00245ACB">
        <w:rPr>
          <w:color w:val="000000"/>
        </w:rPr>
        <w:t>Smith</w:t>
      </w:r>
      <w:r w:rsidR="00245ACB">
        <w:rPr>
          <w:rFonts w:hint="eastAsia"/>
          <w:color w:val="000000"/>
        </w:rPr>
        <w:t xml:space="preserve"> </w:t>
      </w:r>
      <w:r w:rsidRPr="00A701F7">
        <w:rPr>
          <w:color w:val="000000"/>
        </w:rPr>
        <w:t>(2010) insist</w:t>
      </w:r>
      <w:r w:rsidR="00245ACB">
        <w:rPr>
          <w:rFonts w:hint="eastAsia"/>
          <w:color w:val="000000"/>
        </w:rPr>
        <w:t>ed</w:t>
      </w:r>
      <w:r w:rsidRPr="00A701F7">
        <w:rPr>
          <w:color w:val="000000"/>
        </w:rPr>
        <w:t xml:space="preserve"> that the company tends to use a tax consulting service when a company’s tax practice environment and organization are complicated. Thus, as the complexities of the organization increase, the amount of information asymmetry with the outside increases.</w:t>
      </w:r>
      <w:r w:rsidR="00245ACB">
        <w:rPr>
          <w:rFonts w:hint="eastAsia"/>
          <w:color w:val="000000"/>
        </w:rPr>
        <w:t xml:space="preserve"> </w:t>
      </w:r>
      <w:r w:rsidRPr="00A701F7">
        <w:rPr>
          <w:color w:val="000000"/>
        </w:rPr>
        <w:t>This causes distrust in</w:t>
      </w:r>
      <w:r w:rsidR="00245ACB">
        <w:rPr>
          <w:rFonts w:hint="eastAsia"/>
          <w:color w:val="000000"/>
        </w:rPr>
        <w:t xml:space="preserve"> </w:t>
      </w:r>
      <w:r w:rsidRPr="00A701F7">
        <w:rPr>
          <w:color w:val="000000"/>
        </w:rPr>
        <w:t xml:space="preserve">the company to increase, making it more likely to be evaluated negatively. Therefore, </w:t>
      </w:r>
      <w:r w:rsidR="00245ACB">
        <w:rPr>
          <w:color w:val="000000"/>
        </w:rPr>
        <w:t>we set the following hypothesis</w:t>
      </w:r>
      <w:r w:rsidR="00245ACB">
        <w:rPr>
          <w:rFonts w:hint="eastAsia"/>
          <w:color w:val="000000"/>
        </w:rPr>
        <w:t>:</w:t>
      </w:r>
    </w:p>
    <w:p w:rsidR="00A701F7" w:rsidRPr="00A701F7" w:rsidRDefault="00A701F7" w:rsidP="001F0251">
      <w:pPr>
        <w:ind w:firstLine="420"/>
        <w:rPr>
          <w:color w:val="000000"/>
        </w:rPr>
      </w:pPr>
      <w:r w:rsidRPr="00A701F7">
        <w:rPr>
          <w:color w:val="000000"/>
        </w:rPr>
        <w:t xml:space="preserve">H1: When the complexity of the organization increases, the market evaluates a company negatively because of the high information asymmetry between investors and </w:t>
      </w:r>
      <w:r w:rsidR="00245ACB">
        <w:rPr>
          <w:rFonts w:hint="eastAsia"/>
          <w:color w:val="000000"/>
        </w:rPr>
        <w:t xml:space="preserve">the </w:t>
      </w:r>
      <w:r w:rsidRPr="00A701F7">
        <w:rPr>
          <w:color w:val="000000"/>
        </w:rPr>
        <w:t>firm.</w:t>
      </w:r>
    </w:p>
    <w:p w:rsidR="00A701F7" w:rsidRPr="00A701F7" w:rsidRDefault="00A701F7" w:rsidP="001F0251">
      <w:pPr>
        <w:ind w:firstLine="420"/>
        <w:rPr>
          <w:color w:val="000000"/>
        </w:rPr>
      </w:pPr>
      <w:r w:rsidRPr="00A701F7">
        <w:rPr>
          <w:color w:val="000000"/>
        </w:rPr>
        <w:t>From the results</w:t>
      </w:r>
      <w:r w:rsidR="00245ACB">
        <w:rPr>
          <w:rFonts w:hint="eastAsia"/>
          <w:color w:val="000000"/>
        </w:rPr>
        <w:t xml:space="preserve"> </w:t>
      </w:r>
      <w:r w:rsidRPr="00A701F7">
        <w:rPr>
          <w:color w:val="000000"/>
        </w:rPr>
        <w:t>shown in Figure 3, the reaction of the market to the application of TPT is negative. It is thought that the cause of such</w:t>
      </w:r>
      <w:r w:rsidR="00245ACB">
        <w:rPr>
          <w:rFonts w:hint="eastAsia"/>
          <w:color w:val="000000"/>
        </w:rPr>
        <w:t xml:space="preserve"> </w:t>
      </w:r>
      <w:r w:rsidRPr="00A701F7">
        <w:rPr>
          <w:color w:val="000000"/>
        </w:rPr>
        <w:t>a reaction</w:t>
      </w:r>
      <w:r w:rsidR="00245ACB">
        <w:rPr>
          <w:rFonts w:hint="eastAsia"/>
          <w:color w:val="000000"/>
        </w:rPr>
        <w:t xml:space="preserve"> </w:t>
      </w:r>
      <w:r w:rsidRPr="00A701F7">
        <w:rPr>
          <w:color w:val="000000"/>
        </w:rPr>
        <w:t>is distrust by investors. We expect that information asymmetry between in</w:t>
      </w:r>
      <w:r w:rsidR="00245ACB">
        <w:rPr>
          <w:color w:val="000000"/>
        </w:rPr>
        <w:t>vestors and companies’ managers</w:t>
      </w:r>
      <w:r w:rsidR="00245ACB">
        <w:rPr>
          <w:rFonts w:hint="eastAsia"/>
          <w:color w:val="000000"/>
        </w:rPr>
        <w:t xml:space="preserve"> </w:t>
      </w:r>
      <w:r w:rsidRPr="00A701F7">
        <w:rPr>
          <w:color w:val="000000"/>
        </w:rPr>
        <w:t>produces a negative reaction in investors. As a cause of this asymmetry of information, Kato (2011) point</w:t>
      </w:r>
      <w:r w:rsidR="00F21206">
        <w:rPr>
          <w:rFonts w:hint="eastAsia"/>
          <w:color w:val="000000"/>
        </w:rPr>
        <w:t>ed</w:t>
      </w:r>
      <w:r w:rsidRPr="00A701F7">
        <w:rPr>
          <w:color w:val="000000"/>
        </w:rPr>
        <w:t xml:space="preserve"> out the existence of intangibles, saying that the market evaluates a company negatively when it holds many intangibles for which transparency is lacking. In particular, he </w:t>
      </w:r>
      <w:r w:rsidR="0014346C">
        <w:rPr>
          <w:rFonts w:hint="eastAsia"/>
          <w:color w:val="000000"/>
        </w:rPr>
        <w:t>took</w:t>
      </w:r>
      <w:r w:rsidRPr="00A701F7">
        <w:rPr>
          <w:color w:val="000000"/>
        </w:rPr>
        <w:t xml:space="preserve"> up the topic of research and development (R&amp;D)</w:t>
      </w:r>
      <w:r w:rsidR="00F21206">
        <w:rPr>
          <w:rFonts w:hint="eastAsia"/>
          <w:color w:val="000000"/>
        </w:rPr>
        <w:t xml:space="preserve"> </w:t>
      </w:r>
      <w:r w:rsidRPr="00A701F7">
        <w:rPr>
          <w:color w:val="000000"/>
        </w:rPr>
        <w:t xml:space="preserve">expenses that can be considered as the source of intangibles, asking </w:t>
      </w:r>
      <w:r w:rsidR="00F21206">
        <w:rPr>
          <w:rFonts w:hint="eastAsia"/>
          <w:color w:val="000000"/>
        </w:rPr>
        <w:t>whether</w:t>
      </w:r>
      <w:r w:rsidRPr="00A701F7">
        <w:rPr>
          <w:color w:val="000000"/>
        </w:rPr>
        <w:t xml:space="preserve"> the market evaluates</w:t>
      </w:r>
      <w:r w:rsidR="00F21206">
        <w:rPr>
          <w:rFonts w:hint="eastAsia"/>
          <w:color w:val="000000"/>
        </w:rPr>
        <w:t xml:space="preserve"> </w:t>
      </w:r>
      <w:r w:rsidRPr="00A701F7">
        <w:rPr>
          <w:color w:val="000000"/>
        </w:rPr>
        <w:t>an R&amp;D expense negatively or not. Based on this po</w:t>
      </w:r>
      <w:r w:rsidR="00F21206">
        <w:rPr>
          <w:color w:val="000000"/>
        </w:rPr>
        <w:t>int, we set the next hypothesis</w:t>
      </w:r>
      <w:r w:rsidR="00F21206">
        <w:rPr>
          <w:rFonts w:hint="eastAsia"/>
          <w:color w:val="000000"/>
        </w:rPr>
        <w:t>:</w:t>
      </w:r>
    </w:p>
    <w:p w:rsidR="00A701F7" w:rsidRDefault="00A701F7" w:rsidP="001F0251">
      <w:pPr>
        <w:ind w:firstLine="420"/>
        <w:rPr>
          <w:color w:val="000000"/>
        </w:rPr>
      </w:pPr>
      <w:r w:rsidRPr="00A701F7">
        <w:rPr>
          <w:color w:val="000000"/>
        </w:rPr>
        <w:t>H2: When a company holds</w:t>
      </w:r>
      <w:r w:rsidR="00F21206">
        <w:rPr>
          <w:rFonts w:hint="eastAsia"/>
          <w:color w:val="000000"/>
        </w:rPr>
        <w:t xml:space="preserve"> </w:t>
      </w:r>
      <w:r w:rsidRPr="00A701F7">
        <w:rPr>
          <w:color w:val="000000"/>
        </w:rPr>
        <w:t>many</w:t>
      </w:r>
      <w:r w:rsidR="00F21206">
        <w:rPr>
          <w:rFonts w:hint="eastAsia"/>
          <w:color w:val="000000"/>
        </w:rPr>
        <w:t xml:space="preserve"> </w:t>
      </w:r>
      <w:r w:rsidRPr="00A701F7">
        <w:rPr>
          <w:color w:val="000000"/>
        </w:rPr>
        <w:t>intangibles and has high R&amp;D expenses, the market evaluates it negatively because the company’s transparency is low and information</w:t>
      </w:r>
      <w:r w:rsidR="00F21206">
        <w:rPr>
          <w:rFonts w:hint="eastAsia"/>
          <w:color w:val="000000"/>
        </w:rPr>
        <w:t xml:space="preserve"> </w:t>
      </w:r>
      <w:r w:rsidRPr="00A701F7">
        <w:rPr>
          <w:color w:val="000000"/>
        </w:rPr>
        <w:t>asymmetry is high.</w:t>
      </w:r>
    </w:p>
    <w:p w:rsidR="001F0251" w:rsidRPr="00A701F7" w:rsidRDefault="001F0251" w:rsidP="001F0251">
      <w:pPr>
        <w:ind w:firstLine="420"/>
        <w:rPr>
          <w:color w:val="000000"/>
        </w:rPr>
      </w:pPr>
    </w:p>
    <w:p w:rsidR="00A701F7" w:rsidRPr="00A701F7" w:rsidRDefault="00A701F7" w:rsidP="001F0251">
      <w:pPr>
        <w:spacing w:line="316" w:lineRule="exact"/>
        <w:ind w:firstLine="420"/>
        <w:rPr>
          <w:color w:val="000000"/>
        </w:rPr>
      </w:pPr>
      <w:r w:rsidRPr="00A701F7">
        <w:rPr>
          <w:color w:val="000000"/>
        </w:rPr>
        <w:lastRenderedPageBreak/>
        <w:t>The cause of a market negative reaction is related to not only the uncertainties in TPT itself</w:t>
      </w:r>
      <w:r w:rsidR="00F21206">
        <w:rPr>
          <w:rFonts w:hint="eastAsia"/>
          <w:color w:val="000000"/>
        </w:rPr>
        <w:t xml:space="preserve"> </w:t>
      </w:r>
      <w:r w:rsidRPr="00A701F7">
        <w:rPr>
          <w:color w:val="000000"/>
        </w:rPr>
        <w:t>but</w:t>
      </w:r>
      <w:r w:rsidR="00F21206">
        <w:rPr>
          <w:rFonts w:hint="eastAsia"/>
          <w:color w:val="000000"/>
        </w:rPr>
        <w:t xml:space="preserve"> also</w:t>
      </w:r>
      <w:r w:rsidRPr="00A701F7">
        <w:rPr>
          <w:color w:val="000000"/>
        </w:rPr>
        <w:t xml:space="preserve"> distrust in the company. Hanlon and Slemrod</w:t>
      </w:r>
      <w:r w:rsidR="00F21206">
        <w:rPr>
          <w:rFonts w:hint="eastAsia"/>
          <w:color w:val="000000"/>
        </w:rPr>
        <w:t xml:space="preserve"> </w:t>
      </w:r>
      <w:r w:rsidRPr="00A701F7">
        <w:rPr>
          <w:color w:val="000000"/>
        </w:rPr>
        <w:t>(2009) point</w:t>
      </w:r>
      <w:r w:rsidR="00F21206">
        <w:rPr>
          <w:rFonts w:hint="eastAsia"/>
          <w:color w:val="000000"/>
        </w:rPr>
        <w:t>ed</w:t>
      </w:r>
      <w:r w:rsidRPr="00A701F7">
        <w:rPr>
          <w:color w:val="000000"/>
        </w:rPr>
        <w:t xml:space="preserve"> out that when companies which are closely connected to consumers (B</w:t>
      </w:r>
      <w:r w:rsidR="00F21206">
        <w:rPr>
          <w:rFonts w:hint="eastAsia"/>
          <w:color w:val="000000"/>
        </w:rPr>
        <w:t>2</w:t>
      </w:r>
      <w:r w:rsidRPr="00A701F7">
        <w:rPr>
          <w:color w:val="000000"/>
        </w:rPr>
        <w:t xml:space="preserve">C firms) use complicated schemes such as </w:t>
      </w:r>
      <w:r w:rsidR="006622E8">
        <w:rPr>
          <w:rFonts w:hint="eastAsia"/>
          <w:color w:val="000000"/>
        </w:rPr>
        <w:t xml:space="preserve">tax </w:t>
      </w:r>
      <w:r w:rsidR="006622E8">
        <w:rPr>
          <w:color w:val="000000"/>
        </w:rPr>
        <w:t>shelter</w:t>
      </w:r>
      <w:r w:rsidRPr="00A701F7">
        <w:rPr>
          <w:color w:val="000000"/>
        </w:rPr>
        <w:t xml:space="preserve"> and TP to reduce their tax burdens, they receive negative reactions</w:t>
      </w:r>
      <w:r w:rsidR="00F21206">
        <w:rPr>
          <w:rFonts w:hint="eastAsia"/>
          <w:color w:val="000000"/>
        </w:rPr>
        <w:t xml:space="preserve"> </w:t>
      </w:r>
      <w:r w:rsidRPr="00A701F7">
        <w:rPr>
          <w:color w:val="000000"/>
        </w:rPr>
        <w:t xml:space="preserve">from the market. When we think along this line, we recognize that companies who advertise do so partially to reduce their </w:t>
      </w:r>
      <w:r w:rsidRPr="00A701F7">
        <w:t>information</w:t>
      </w:r>
      <w:r w:rsidR="00F21206">
        <w:rPr>
          <w:rFonts w:hint="eastAsia"/>
        </w:rPr>
        <w:t xml:space="preserve"> </w:t>
      </w:r>
      <w:r w:rsidRPr="00A701F7">
        <w:t>asymmetry</w:t>
      </w:r>
      <w:r w:rsidRPr="00A701F7">
        <w:rPr>
          <w:color w:val="000000"/>
        </w:rPr>
        <w:t>.</w:t>
      </w:r>
      <w:r w:rsidR="00F21206">
        <w:rPr>
          <w:rFonts w:hint="eastAsia"/>
          <w:color w:val="000000"/>
        </w:rPr>
        <w:t xml:space="preserve"> </w:t>
      </w:r>
      <w:r w:rsidRPr="00A701F7">
        <w:rPr>
          <w:color w:val="000000"/>
        </w:rPr>
        <w:t>Such companies tend to share information about the compan</w:t>
      </w:r>
      <w:r w:rsidR="00F21206">
        <w:rPr>
          <w:rFonts w:hint="eastAsia"/>
          <w:color w:val="000000"/>
        </w:rPr>
        <w:t>ies</w:t>
      </w:r>
      <w:r w:rsidRPr="00A701F7">
        <w:rPr>
          <w:color w:val="000000"/>
        </w:rPr>
        <w:t xml:space="preserve"> in order to avoid being distrusted. Moreover, Hanlon and Slemrod</w:t>
      </w:r>
      <w:r w:rsidR="00F21206">
        <w:rPr>
          <w:rFonts w:hint="eastAsia"/>
          <w:color w:val="000000"/>
        </w:rPr>
        <w:t xml:space="preserve"> </w:t>
      </w:r>
      <w:r w:rsidRPr="00A701F7">
        <w:rPr>
          <w:color w:val="000000"/>
        </w:rPr>
        <w:t>(2009) indicate</w:t>
      </w:r>
      <w:r w:rsidR="00F21206">
        <w:rPr>
          <w:rFonts w:hint="eastAsia"/>
          <w:color w:val="000000"/>
        </w:rPr>
        <w:t>d</w:t>
      </w:r>
      <w:r w:rsidRPr="00A701F7">
        <w:rPr>
          <w:color w:val="000000"/>
        </w:rPr>
        <w:t xml:space="preserve"> that investors evaluate companies which bear high effective tax rates positively because investors judge such companies</w:t>
      </w:r>
      <w:r w:rsidR="00F21206">
        <w:rPr>
          <w:rFonts w:hint="eastAsia"/>
          <w:color w:val="000000"/>
        </w:rPr>
        <w:t xml:space="preserve"> </w:t>
      </w:r>
      <w:r w:rsidRPr="00A701F7">
        <w:rPr>
          <w:color w:val="000000"/>
        </w:rPr>
        <w:t>as good taxpayers</w:t>
      </w:r>
      <w:r w:rsidR="00F21206">
        <w:rPr>
          <w:rFonts w:hint="eastAsia"/>
          <w:color w:val="000000"/>
        </w:rPr>
        <w:t xml:space="preserve"> </w:t>
      </w:r>
      <w:r w:rsidRPr="00A701F7">
        <w:rPr>
          <w:color w:val="000000"/>
        </w:rPr>
        <w:t>having high tax compliance. So</w:t>
      </w:r>
      <w:r w:rsidR="00F21206">
        <w:rPr>
          <w:rFonts w:hint="eastAsia"/>
          <w:color w:val="000000"/>
        </w:rPr>
        <w:t>,</w:t>
      </w:r>
      <w:r w:rsidRPr="00A701F7">
        <w:rPr>
          <w:color w:val="000000"/>
        </w:rPr>
        <w:t xml:space="preserve"> if consumers have the same properties as investors, we can expect that the magnitude and level of</w:t>
      </w:r>
      <w:r w:rsidR="00F21206">
        <w:rPr>
          <w:rFonts w:hint="eastAsia"/>
          <w:color w:val="000000"/>
        </w:rPr>
        <w:t xml:space="preserve"> </w:t>
      </w:r>
      <w:r w:rsidRPr="00A701F7">
        <w:rPr>
          <w:color w:val="000000"/>
        </w:rPr>
        <w:t>companies’</w:t>
      </w:r>
      <w:r w:rsidR="00F21206">
        <w:rPr>
          <w:rFonts w:hint="eastAsia"/>
          <w:color w:val="000000"/>
        </w:rPr>
        <w:t xml:space="preserve"> </w:t>
      </w:r>
      <w:r w:rsidRPr="00A701F7">
        <w:rPr>
          <w:color w:val="000000"/>
        </w:rPr>
        <w:t xml:space="preserve">effective tax rates and their amounts of advertising investment are interrelated with their evaluations. Based on these points, </w:t>
      </w:r>
      <w:r w:rsidR="00F21206">
        <w:rPr>
          <w:color w:val="000000"/>
        </w:rPr>
        <w:t>we set the following hypotheses</w:t>
      </w:r>
      <w:r w:rsidR="00F21206">
        <w:rPr>
          <w:rFonts w:hint="eastAsia"/>
          <w:color w:val="000000"/>
        </w:rPr>
        <w:t>:</w:t>
      </w:r>
    </w:p>
    <w:p w:rsidR="00A701F7" w:rsidRPr="00A701F7" w:rsidRDefault="00A701F7" w:rsidP="001F0251">
      <w:pPr>
        <w:spacing w:line="316" w:lineRule="exact"/>
        <w:ind w:firstLine="420"/>
        <w:rPr>
          <w:color w:val="000000"/>
        </w:rPr>
      </w:pPr>
      <w:r w:rsidRPr="00A701F7">
        <w:rPr>
          <w:color w:val="000000"/>
        </w:rPr>
        <w:t>H3-1: For a company for which the rate of advertising investment is high, even if TPT is applied, the market reaction to this news is positive.</w:t>
      </w:r>
    </w:p>
    <w:p w:rsidR="00A701F7" w:rsidRPr="00A701F7" w:rsidRDefault="00A701F7" w:rsidP="001F0251">
      <w:pPr>
        <w:spacing w:line="316" w:lineRule="exact"/>
        <w:ind w:firstLine="420"/>
        <w:rPr>
          <w:color w:val="000000"/>
        </w:rPr>
      </w:pPr>
      <w:r w:rsidRPr="00A701F7">
        <w:rPr>
          <w:color w:val="000000"/>
        </w:rPr>
        <w:t>H3-2: For a company for which the effective tax rate is high, even if TPT is applied, the market reaction to this news is positive because the company is seen as conscientious regarding tax payment.</w:t>
      </w:r>
    </w:p>
    <w:p w:rsidR="00A701F7" w:rsidRPr="005E2E70" w:rsidRDefault="00A701F7" w:rsidP="001F0251">
      <w:pPr>
        <w:spacing w:line="316" w:lineRule="exact"/>
        <w:ind w:firstLine="416"/>
        <w:rPr>
          <w:iCs/>
          <w:spacing w:val="-1"/>
        </w:rPr>
      </w:pPr>
      <w:r w:rsidRPr="005E2E70">
        <w:rPr>
          <w:iCs/>
          <w:spacing w:val="-1"/>
        </w:rPr>
        <w:t xml:space="preserve">Executive compensation is expected to </w:t>
      </w:r>
      <w:r w:rsidR="00F21206" w:rsidRPr="005E2E70">
        <w:rPr>
          <w:rFonts w:hint="eastAsia"/>
          <w:iCs/>
          <w:spacing w:val="-1"/>
        </w:rPr>
        <w:t>play</w:t>
      </w:r>
      <w:r w:rsidRPr="005E2E70">
        <w:rPr>
          <w:iCs/>
          <w:spacing w:val="-1"/>
        </w:rPr>
        <w:t xml:space="preserve"> a role in corporate value maximization through its incentive effect </w:t>
      </w:r>
      <w:r w:rsidR="0014346C" w:rsidRPr="005E2E70">
        <w:rPr>
          <w:rFonts w:hint="eastAsia"/>
          <w:iCs/>
          <w:spacing w:val="-1"/>
        </w:rPr>
        <w:t>on</w:t>
      </w:r>
      <w:r w:rsidRPr="005E2E70">
        <w:rPr>
          <w:iCs/>
          <w:spacing w:val="-1"/>
        </w:rPr>
        <w:t xml:space="preserve"> managers. In a large company with </w:t>
      </w:r>
      <w:hyperlink r:id="rId21" w:tooltip="separation ofの意味" w:history="1">
        <w:r w:rsidRPr="005E2E70">
          <w:rPr>
            <w:spacing w:val="-1"/>
          </w:rPr>
          <w:t>separation of</w:t>
        </w:r>
      </w:hyperlink>
      <w:r w:rsidR="0014346C" w:rsidRPr="005E2E70">
        <w:rPr>
          <w:rFonts w:hint="eastAsia"/>
          <w:spacing w:val="-1"/>
        </w:rPr>
        <w:t xml:space="preserve"> </w:t>
      </w:r>
      <w:hyperlink r:id="rId22" w:tooltip="ownershipの意味" w:history="1">
        <w:r w:rsidRPr="005E2E70">
          <w:rPr>
            <w:spacing w:val="-1"/>
          </w:rPr>
          <w:t>ownership</w:t>
        </w:r>
      </w:hyperlink>
      <w:r w:rsidRPr="005E2E70">
        <w:rPr>
          <w:spacing w:val="-1"/>
        </w:rPr>
        <w:t xml:space="preserve"> from </w:t>
      </w:r>
      <w:hyperlink r:id="rId23" w:tooltip="managementの意味" w:history="1">
        <w:r w:rsidRPr="005E2E70">
          <w:rPr>
            <w:spacing w:val="-1"/>
          </w:rPr>
          <w:t>management</w:t>
        </w:r>
      </w:hyperlink>
      <w:r w:rsidRPr="005E2E70">
        <w:rPr>
          <w:spacing w:val="-1"/>
        </w:rPr>
        <w:t xml:space="preserve">, </w:t>
      </w:r>
      <w:r w:rsidRPr="005E2E70">
        <w:rPr>
          <w:iCs/>
          <w:spacing w:val="-1"/>
        </w:rPr>
        <w:t>executive compensation</w:t>
      </w:r>
      <w:r w:rsidR="0014346C" w:rsidRPr="005E2E70">
        <w:rPr>
          <w:rFonts w:hint="eastAsia"/>
          <w:iCs/>
          <w:spacing w:val="-1"/>
        </w:rPr>
        <w:t xml:space="preserve"> </w:t>
      </w:r>
      <w:r w:rsidRPr="005E2E70">
        <w:rPr>
          <w:spacing w:val="-1"/>
        </w:rPr>
        <w:t>becomes the core of the CG.</w:t>
      </w:r>
      <w:r w:rsidR="0014346C" w:rsidRPr="005E2E70">
        <w:rPr>
          <w:rFonts w:hint="eastAsia"/>
          <w:spacing w:val="-1"/>
        </w:rPr>
        <w:t xml:space="preserve"> </w:t>
      </w:r>
      <w:r w:rsidRPr="005E2E70">
        <w:rPr>
          <w:spacing w:val="-1"/>
        </w:rPr>
        <w:t>With regard to executive compensation, the agency problem, which includes excess compensation, arises easily. On this point, Core</w:t>
      </w:r>
      <w:r w:rsidR="0014346C" w:rsidRPr="005E2E70">
        <w:rPr>
          <w:rFonts w:hint="eastAsia"/>
          <w:spacing w:val="-1"/>
        </w:rPr>
        <w:t xml:space="preserve">, </w:t>
      </w:r>
      <w:r w:rsidR="0014346C" w:rsidRPr="005E2E70">
        <w:rPr>
          <w:spacing w:val="-1"/>
        </w:rPr>
        <w:t>Holthausen,</w:t>
      </w:r>
      <w:r w:rsidR="0014346C" w:rsidRPr="005E2E70">
        <w:rPr>
          <w:rFonts w:hint="eastAsia"/>
          <w:spacing w:val="-1"/>
        </w:rPr>
        <w:t xml:space="preserve"> and </w:t>
      </w:r>
      <w:r w:rsidR="0014346C" w:rsidRPr="005E2E70">
        <w:rPr>
          <w:spacing w:val="-1"/>
        </w:rPr>
        <w:t>Larcker</w:t>
      </w:r>
      <w:r w:rsidR="0014346C" w:rsidRPr="005E2E70">
        <w:rPr>
          <w:rFonts w:hint="eastAsia"/>
          <w:spacing w:val="-1"/>
        </w:rPr>
        <w:t xml:space="preserve"> </w:t>
      </w:r>
      <w:r w:rsidRPr="005E2E70">
        <w:rPr>
          <w:spacing w:val="-1"/>
        </w:rPr>
        <w:t>(1999)</w:t>
      </w:r>
      <w:r w:rsidR="0014346C" w:rsidRPr="005E2E70">
        <w:rPr>
          <w:rFonts w:hint="eastAsia"/>
          <w:spacing w:val="-1"/>
        </w:rPr>
        <w:t xml:space="preserve"> </w:t>
      </w:r>
      <w:r w:rsidRPr="005E2E70">
        <w:rPr>
          <w:spacing w:val="-1"/>
        </w:rPr>
        <w:t>suggest</w:t>
      </w:r>
      <w:r w:rsidR="0014346C" w:rsidRPr="005E2E70">
        <w:rPr>
          <w:rFonts w:hint="eastAsia"/>
          <w:spacing w:val="-1"/>
        </w:rPr>
        <w:t>ed</w:t>
      </w:r>
      <w:r w:rsidRPr="005E2E70">
        <w:rPr>
          <w:spacing w:val="-1"/>
        </w:rPr>
        <w:t xml:space="preserve"> that </w:t>
      </w:r>
      <w:r w:rsidRPr="005E2E70">
        <w:rPr>
          <w:iCs/>
          <w:spacing w:val="-1"/>
        </w:rPr>
        <w:t>executive compensation</w:t>
      </w:r>
      <w:r w:rsidRPr="005E2E70">
        <w:rPr>
          <w:spacing w:val="-1"/>
        </w:rPr>
        <w:t xml:space="preserve"> becomes excessive if CG is weak. Further, they point</w:t>
      </w:r>
      <w:r w:rsidR="0014346C" w:rsidRPr="005E2E70">
        <w:rPr>
          <w:rFonts w:hint="eastAsia"/>
          <w:spacing w:val="-1"/>
        </w:rPr>
        <w:t>ed</w:t>
      </w:r>
      <w:r w:rsidRPr="005E2E70">
        <w:rPr>
          <w:spacing w:val="-1"/>
        </w:rPr>
        <w:t xml:space="preserve"> out the possibility that excessive</w:t>
      </w:r>
      <w:r w:rsidR="0014346C" w:rsidRPr="005E2E70">
        <w:rPr>
          <w:rFonts w:hint="eastAsia"/>
          <w:spacing w:val="-1"/>
        </w:rPr>
        <w:t xml:space="preserve"> </w:t>
      </w:r>
      <w:r w:rsidRPr="005E2E70">
        <w:rPr>
          <w:iCs/>
          <w:spacing w:val="-1"/>
        </w:rPr>
        <w:t>executive compensation</w:t>
      </w:r>
      <w:r w:rsidRPr="005E2E70">
        <w:rPr>
          <w:spacing w:val="-1"/>
        </w:rPr>
        <w:t xml:space="preserve"> brings about adverse effects on corporate earnings later. In this regard, an application of TPT to a company can be considered </w:t>
      </w:r>
      <w:r w:rsidR="0014346C" w:rsidRPr="005E2E70">
        <w:rPr>
          <w:rFonts w:hint="eastAsia"/>
          <w:spacing w:val="-1"/>
        </w:rPr>
        <w:t xml:space="preserve">as </w:t>
      </w:r>
      <w:r w:rsidRPr="005E2E70">
        <w:rPr>
          <w:spacing w:val="-1"/>
        </w:rPr>
        <w:t>a sign that CG is not functioning</w:t>
      </w:r>
      <w:r w:rsidR="0014346C" w:rsidRPr="005E2E70">
        <w:rPr>
          <w:rFonts w:hint="eastAsia"/>
          <w:spacing w:val="-1"/>
        </w:rPr>
        <w:t xml:space="preserve"> </w:t>
      </w:r>
      <w:r w:rsidRPr="005E2E70">
        <w:rPr>
          <w:spacing w:val="-1"/>
        </w:rPr>
        <w:t>sufficiently. The investors are more likely to judge the manager of such a company as monopolizing gain by using TP. Therefore, the market is expected to react negatively to such rent extraction.</w:t>
      </w:r>
    </w:p>
    <w:p w:rsidR="00A701F7" w:rsidRPr="00A701F7" w:rsidRDefault="00A701F7" w:rsidP="001F0251">
      <w:pPr>
        <w:spacing w:line="316" w:lineRule="exact"/>
        <w:ind w:firstLine="420"/>
        <w:rPr>
          <w:iCs/>
        </w:rPr>
      </w:pPr>
      <w:r w:rsidRPr="00A701F7">
        <w:rPr>
          <w:iCs/>
        </w:rPr>
        <w:t>On the other hand, Yamamoto and Sasaki (2010) report</w:t>
      </w:r>
      <w:r w:rsidR="0014346C">
        <w:rPr>
          <w:rFonts w:hint="eastAsia"/>
          <w:iCs/>
        </w:rPr>
        <w:t>ed</w:t>
      </w:r>
      <w:r w:rsidRPr="00A701F7">
        <w:rPr>
          <w:iCs/>
        </w:rPr>
        <w:t xml:space="preserve"> that cash compensation, with the proof of good governance, leads to a positive market response starting in the following year. In other words, they suggest</w:t>
      </w:r>
      <w:r w:rsidR="0014346C">
        <w:rPr>
          <w:rFonts w:hint="eastAsia"/>
          <w:iCs/>
        </w:rPr>
        <w:t>ed</w:t>
      </w:r>
      <w:r w:rsidR="0014346C">
        <w:rPr>
          <w:iCs/>
        </w:rPr>
        <w:t xml:space="preserve"> that</w:t>
      </w:r>
      <w:r w:rsidRPr="00A701F7">
        <w:rPr>
          <w:iCs/>
        </w:rPr>
        <w:t xml:space="preserve"> through </w:t>
      </w:r>
      <w:r w:rsidR="0014346C">
        <w:rPr>
          <w:iCs/>
        </w:rPr>
        <w:t>management</w:t>
      </w:r>
      <w:r w:rsidR="0014346C">
        <w:rPr>
          <w:rFonts w:hint="eastAsia"/>
          <w:iCs/>
        </w:rPr>
        <w:t xml:space="preserve"> c</w:t>
      </w:r>
      <w:r w:rsidRPr="00A701F7">
        <w:rPr>
          <w:iCs/>
        </w:rPr>
        <w:t>ompensation, Japanese companies have</w:t>
      </w:r>
      <w:r w:rsidR="0014346C">
        <w:rPr>
          <w:rFonts w:hint="eastAsia"/>
          <w:iCs/>
        </w:rPr>
        <w:t xml:space="preserve"> </w:t>
      </w:r>
      <w:r w:rsidRPr="00A701F7">
        <w:rPr>
          <w:iCs/>
        </w:rPr>
        <w:t>already been motivated to improve performance. As a result of the pursuit of corporate value maximization, companies to which TPT is applied</w:t>
      </w:r>
      <w:r w:rsidR="0014346C">
        <w:rPr>
          <w:rFonts w:hint="eastAsia"/>
          <w:iCs/>
        </w:rPr>
        <w:t xml:space="preserve"> </w:t>
      </w:r>
      <w:r w:rsidRPr="00A701F7">
        <w:rPr>
          <w:iCs/>
        </w:rPr>
        <w:t>have engaged in high-risk activities, that is, activities which might result in an investigation by JTA.</w:t>
      </w:r>
      <w:r w:rsidR="0014346C">
        <w:rPr>
          <w:rFonts w:hint="eastAsia"/>
          <w:iCs/>
        </w:rPr>
        <w:t xml:space="preserve"> </w:t>
      </w:r>
      <w:r w:rsidRPr="00A701F7">
        <w:rPr>
          <w:iCs/>
        </w:rPr>
        <w:t>In this regard, Ohnuma (2014) point</w:t>
      </w:r>
      <w:r w:rsidR="0014346C">
        <w:rPr>
          <w:rFonts w:hint="eastAsia"/>
          <w:iCs/>
        </w:rPr>
        <w:t>ed</w:t>
      </w:r>
      <w:r w:rsidRPr="00A701F7">
        <w:rPr>
          <w:iCs/>
        </w:rPr>
        <w:t xml:space="preserve"> out that executive compensation is determined in consideration of the high-risk duties taken on by manages, such as tax avoidance activity</w:t>
      </w:r>
      <w:r w:rsidR="0014346C">
        <w:rPr>
          <w:rFonts w:hint="eastAsia"/>
          <w:iCs/>
        </w:rPr>
        <w:t xml:space="preserve"> and </w:t>
      </w:r>
      <w:r w:rsidRPr="00A701F7">
        <w:rPr>
          <w:iCs/>
        </w:rPr>
        <w:t xml:space="preserve">the degree of CG. In other words, in a company where CG functions properly, when </w:t>
      </w:r>
      <w:r w:rsidR="00472E89">
        <w:rPr>
          <w:iCs/>
        </w:rPr>
        <w:t>determin</w:t>
      </w:r>
      <w:r w:rsidR="00472E89">
        <w:rPr>
          <w:rFonts w:hint="eastAsia"/>
          <w:iCs/>
        </w:rPr>
        <w:t>ing</w:t>
      </w:r>
      <w:r w:rsidRPr="00A701F7">
        <w:rPr>
          <w:iCs/>
        </w:rPr>
        <w:t xml:space="preserve"> the executive compensation, the bonding of the manager</w:t>
      </w:r>
      <w:r w:rsidR="00472E89">
        <w:rPr>
          <w:rFonts w:hint="eastAsia"/>
          <w:iCs/>
        </w:rPr>
        <w:t>s</w:t>
      </w:r>
      <w:r w:rsidRPr="00A701F7">
        <w:rPr>
          <w:iCs/>
        </w:rPr>
        <w:t xml:space="preserve"> with their firms reflects on the corporate value maximization.</w:t>
      </w:r>
      <w:r w:rsidR="00472E89">
        <w:rPr>
          <w:rFonts w:hint="eastAsia"/>
          <w:iCs/>
        </w:rPr>
        <w:t xml:space="preserve"> </w:t>
      </w:r>
      <w:r w:rsidRPr="00A701F7">
        <w:rPr>
          <w:iCs/>
        </w:rPr>
        <w:t>We hypothesize that companies with strong CG rarely have TPT applied and do</w:t>
      </w:r>
      <w:r w:rsidR="00472E89">
        <w:rPr>
          <w:rFonts w:hint="eastAsia"/>
          <w:iCs/>
        </w:rPr>
        <w:t xml:space="preserve"> </w:t>
      </w:r>
      <w:r w:rsidRPr="00A701F7">
        <w:rPr>
          <w:iCs/>
        </w:rPr>
        <w:t>not make excessive</w:t>
      </w:r>
      <w:r w:rsidR="00472E89">
        <w:rPr>
          <w:rFonts w:hint="eastAsia"/>
          <w:iCs/>
        </w:rPr>
        <w:t xml:space="preserve"> </w:t>
      </w:r>
      <w:r w:rsidRPr="00A701F7">
        <w:rPr>
          <w:iCs/>
        </w:rPr>
        <w:t>executive compensation decisions.</w:t>
      </w:r>
      <w:r w:rsidR="00472E89">
        <w:rPr>
          <w:rFonts w:hint="eastAsia"/>
          <w:iCs/>
        </w:rPr>
        <w:t xml:space="preserve"> In this regard, we set the following hypotheses:</w:t>
      </w:r>
    </w:p>
    <w:p w:rsidR="00A701F7" w:rsidRPr="00A701F7" w:rsidRDefault="00A701F7" w:rsidP="001F0251">
      <w:pPr>
        <w:spacing w:line="316" w:lineRule="exact"/>
        <w:ind w:firstLine="420"/>
        <w:rPr>
          <w:iCs/>
        </w:rPr>
      </w:pPr>
      <w:r w:rsidRPr="00A701F7">
        <w:t>H4-1: As</w:t>
      </w:r>
      <w:r w:rsidR="00472E89">
        <w:rPr>
          <w:rFonts w:hint="eastAsia"/>
        </w:rPr>
        <w:t xml:space="preserve"> </w:t>
      </w:r>
      <w:r w:rsidRPr="00A701F7">
        <w:rPr>
          <w:iCs/>
        </w:rPr>
        <w:t>executive compensation</w:t>
      </w:r>
      <w:r w:rsidRPr="00A701F7">
        <w:t xml:space="preserve"> increases, </w:t>
      </w:r>
      <w:r w:rsidRPr="00A701F7">
        <w:rPr>
          <w:iCs/>
        </w:rPr>
        <w:t xml:space="preserve">assumptions of </w:t>
      </w:r>
      <w:r w:rsidRPr="00A701F7">
        <w:t>rent extraction</w:t>
      </w:r>
      <w:r w:rsidR="00472E89">
        <w:rPr>
          <w:rFonts w:hint="eastAsia"/>
        </w:rPr>
        <w:t xml:space="preserve"> </w:t>
      </w:r>
      <w:r w:rsidRPr="00A701F7">
        <w:rPr>
          <w:iCs/>
        </w:rPr>
        <w:t>by the manager strengthen and the market reacts negatively.</w:t>
      </w:r>
    </w:p>
    <w:p w:rsidR="00A701F7" w:rsidRPr="00A701F7" w:rsidRDefault="00A701F7" w:rsidP="001F0251">
      <w:pPr>
        <w:spacing w:line="316" w:lineRule="exact"/>
        <w:ind w:firstLine="420"/>
        <w:rPr>
          <w:iCs/>
        </w:rPr>
      </w:pPr>
      <w:r w:rsidRPr="00A701F7">
        <w:t>H4-2: As</w:t>
      </w:r>
      <w:r w:rsidR="00472E89">
        <w:rPr>
          <w:rFonts w:hint="eastAsia"/>
        </w:rPr>
        <w:t xml:space="preserve"> </w:t>
      </w:r>
      <w:r w:rsidRPr="00A701F7">
        <w:rPr>
          <w:iCs/>
        </w:rPr>
        <w:t>executive compensation</w:t>
      </w:r>
      <w:r w:rsidRPr="00A701F7">
        <w:t xml:space="preserve"> increases, assumptions of </w:t>
      </w:r>
      <w:r w:rsidRPr="00A701F7">
        <w:rPr>
          <w:iCs/>
        </w:rPr>
        <w:t xml:space="preserve">the </w:t>
      </w:r>
      <w:r w:rsidRPr="00A701F7">
        <w:t>bonding</w:t>
      </w:r>
      <w:r w:rsidRPr="00A701F7">
        <w:rPr>
          <w:iCs/>
        </w:rPr>
        <w:t xml:space="preserve"> of the manager strengthen and the market reacts positively.</w:t>
      </w:r>
    </w:p>
    <w:p w:rsidR="00A701F7" w:rsidRPr="00A701F7" w:rsidRDefault="00A701F7" w:rsidP="0026344E">
      <w:pPr>
        <w:pStyle w:val="1"/>
        <w:keepNext w:val="0"/>
        <w:keepLines w:val="0"/>
        <w:widowControl w:val="0"/>
        <w:suppressAutoHyphens/>
        <w:kinsoku w:val="0"/>
        <w:overflowPunct w:val="0"/>
        <w:autoSpaceDE w:val="0"/>
        <w:autoSpaceDN w:val="0"/>
        <w:spacing w:beforeLines="50" w:afterLines="30" w:line="240" w:lineRule="auto"/>
        <w:ind w:left="0" w:firstLine="0"/>
        <w:textAlignment w:val="baseline"/>
        <w:rPr>
          <w:szCs w:val="21"/>
        </w:rPr>
      </w:pPr>
      <w:r w:rsidRPr="00A701F7">
        <w:rPr>
          <w:szCs w:val="21"/>
        </w:rPr>
        <w:lastRenderedPageBreak/>
        <w:t>Research Design</w:t>
      </w:r>
    </w:p>
    <w:p w:rsidR="00A701F7" w:rsidRPr="00A701F7" w:rsidRDefault="00A701F7" w:rsidP="001F0251">
      <w:pPr>
        <w:ind w:firstLine="420"/>
        <w:rPr>
          <w:iCs/>
        </w:rPr>
      </w:pPr>
      <w:r w:rsidRPr="00A701F7">
        <w:rPr>
          <w:iCs/>
        </w:rPr>
        <w:t xml:space="preserve">Section 3 uses newspaper reports about applications of TPT. In terms of financial data, we collect the consolidated financial statements data from Nikkei NEEDS Financial Quest </w:t>
      </w:r>
      <w:r w:rsidR="00277EB7" w:rsidRPr="00A701F7">
        <w:rPr>
          <w:iCs/>
        </w:rPr>
        <w:t>(FQ)</w:t>
      </w:r>
      <w:r w:rsidR="00277EB7">
        <w:rPr>
          <w:rFonts w:hint="eastAsia"/>
          <w:iCs/>
        </w:rPr>
        <w:t xml:space="preserve"> </w:t>
      </w:r>
      <w:r w:rsidRPr="00A701F7">
        <w:rPr>
          <w:iCs/>
        </w:rPr>
        <w:t>2.0 and use data in the accounting period just before the newspaper report. Because one company is excluded on account of the unavailability of data, in this analysis</w:t>
      </w:r>
      <w:r w:rsidR="00277EB7">
        <w:rPr>
          <w:rFonts w:hint="eastAsia"/>
          <w:iCs/>
        </w:rPr>
        <w:t xml:space="preserve">, </w:t>
      </w:r>
      <w:r w:rsidRPr="00A701F7">
        <w:rPr>
          <w:iCs/>
        </w:rPr>
        <w:t>we analyze 50 examples, the same as in the analysis of AR and CAR in Section 3. Here, information that is not available is handled as missing data. In building the research design, we adopt CAR (0</w:t>
      </w:r>
      <w:r w:rsidR="005D74B9">
        <w:rPr>
          <w:iCs/>
        </w:rPr>
        <w:t>,</w:t>
      </w:r>
      <w:r w:rsidRPr="00A701F7">
        <w:rPr>
          <w:iCs/>
        </w:rPr>
        <w:t>1) as the dependent variable. On the basis of the survey by Cavusoglu et al.</w:t>
      </w:r>
      <w:r w:rsidR="00277EB7">
        <w:rPr>
          <w:rFonts w:hint="eastAsia"/>
          <w:iCs/>
        </w:rPr>
        <w:t xml:space="preserve"> </w:t>
      </w:r>
      <w:r w:rsidRPr="00A701F7">
        <w:rPr>
          <w:iCs/>
        </w:rPr>
        <w:t>(2004), we estimate that information about a TPT given by a newspaper report spreads completely through the markets by the end of the day after event</w:t>
      </w:r>
      <w:r w:rsidR="00277EB7">
        <w:rPr>
          <w:rFonts w:hint="eastAsia"/>
          <w:iCs/>
        </w:rPr>
        <w:t xml:space="preserve"> </w:t>
      </w:r>
      <w:r w:rsidRPr="00A701F7">
        <w:rPr>
          <w:iCs/>
        </w:rPr>
        <w:t xml:space="preserve">day. A multiple linear regression model, given in Equation </w:t>
      </w:r>
      <w:r w:rsidR="00277EB7">
        <w:rPr>
          <w:rFonts w:hint="eastAsia"/>
          <w:iCs/>
        </w:rPr>
        <w:t>(</w:t>
      </w:r>
      <w:r w:rsidRPr="00A701F7">
        <w:rPr>
          <w:iCs/>
        </w:rPr>
        <w:t>4</w:t>
      </w:r>
      <w:r w:rsidR="00277EB7">
        <w:rPr>
          <w:rFonts w:hint="eastAsia"/>
          <w:iCs/>
        </w:rPr>
        <w:t>)</w:t>
      </w:r>
      <w:r w:rsidRPr="00A701F7">
        <w:rPr>
          <w:iCs/>
        </w:rPr>
        <w:t>, is set up to study</w:t>
      </w:r>
      <w:r w:rsidR="00277EB7">
        <w:rPr>
          <w:rFonts w:hint="eastAsia"/>
          <w:iCs/>
        </w:rPr>
        <w:t xml:space="preserve"> </w:t>
      </w:r>
      <w:r w:rsidRPr="00A701F7">
        <w:rPr>
          <w:iCs/>
        </w:rPr>
        <w:t xml:space="preserve">the relationship between </w:t>
      </w:r>
      <w:r w:rsidR="00277EB7">
        <w:rPr>
          <w:rFonts w:hint="eastAsia"/>
          <w:iCs/>
        </w:rPr>
        <w:t>CAR</w:t>
      </w:r>
      <w:r w:rsidRPr="00A701F7">
        <w:rPr>
          <w:iCs/>
        </w:rPr>
        <w:t>s and characteristics of</w:t>
      </w:r>
      <w:r w:rsidR="00277EB7">
        <w:rPr>
          <w:rFonts w:hint="eastAsia"/>
          <w:iCs/>
        </w:rPr>
        <w:t xml:space="preserve"> </w:t>
      </w:r>
      <w:r w:rsidRPr="00A701F7">
        <w:rPr>
          <w:iCs/>
        </w:rPr>
        <w:t>events.</w:t>
      </w:r>
      <w:r w:rsidR="00277EB7">
        <w:rPr>
          <w:rFonts w:hint="eastAsia"/>
          <w:iCs/>
        </w:rPr>
        <w:t xml:space="preserve"> W</w:t>
      </w:r>
      <w:r w:rsidRPr="00A701F7">
        <w:rPr>
          <w:iCs/>
        </w:rPr>
        <w:t>ith a multiple regression analysis,</w:t>
      </w:r>
      <w:r w:rsidR="00277EB7">
        <w:rPr>
          <w:rFonts w:hint="eastAsia"/>
          <w:iCs/>
        </w:rPr>
        <w:t xml:space="preserve"> </w:t>
      </w:r>
      <w:r w:rsidRPr="00A701F7">
        <w:rPr>
          <w:iCs/>
        </w:rPr>
        <w:t>we use the following model based on Hanlon and Slemrod</w:t>
      </w:r>
      <w:r w:rsidR="00277EB7">
        <w:rPr>
          <w:rFonts w:hint="eastAsia"/>
          <w:iCs/>
        </w:rPr>
        <w:t xml:space="preserve"> </w:t>
      </w:r>
      <w:r w:rsidRPr="00A701F7">
        <w:rPr>
          <w:iCs/>
        </w:rPr>
        <w:t>(2009)</w:t>
      </w:r>
      <w:r w:rsidR="00B501A1">
        <w:rPr>
          <w:rFonts w:hint="eastAsia"/>
          <w:iCs/>
        </w:rPr>
        <w:t>:</w:t>
      </w:r>
      <w:r w:rsidRPr="00A701F7">
        <w:rPr>
          <w:iCs/>
        </w:rPr>
        <w:t xml:space="preserve"> </w:t>
      </w:r>
    </w:p>
    <w:p w:rsidR="00FB450F" w:rsidRDefault="005D2BBF" w:rsidP="001F0251">
      <w:pPr>
        <w:ind w:firstLineChars="0" w:firstLine="0"/>
        <w:jc w:val="right"/>
      </w:pPr>
      <w:r w:rsidRPr="00C664CE">
        <w:rPr>
          <w:position w:val="-88"/>
        </w:rPr>
        <w:object w:dxaOrig="8280" w:dyaOrig="1939">
          <v:shape id="_x0000_i1028" type="#_x0000_t75" style="width:414.75pt;height:96.75pt" o:ole="">
            <v:imagedata r:id="rId24" o:title=""/>
          </v:shape>
          <o:OLEObject Type="Embed" ProgID="Equation.DSMT4" ShapeID="_x0000_i1028" DrawAspect="Content" ObjectID="_1486562539" r:id="rId25"/>
        </w:object>
      </w:r>
      <w:r w:rsidR="00B501A1">
        <w:rPr>
          <w:rFonts w:hint="eastAsia"/>
        </w:rPr>
        <w:t xml:space="preserve"> </w:t>
      </w:r>
      <w:r w:rsidR="00FB450F">
        <w:rPr>
          <w:rFonts w:hint="eastAsia"/>
        </w:rPr>
        <w:t xml:space="preserve"> (4)</w:t>
      </w:r>
    </w:p>
    <w:p w:rsidR="00B501A1" w:rsidRPr="00A701F7" w:rsidRDefault="00B501A1" w:rsidP="001F0251">
      <w:pPr>
        <w:ind w:firstLine="420"/>
        <w:rPr>
          <w:iCs/>
        </w:rPr>
      </w:pPr>
      <w:r w:rsidRPr="00A701F7">
        <w:rPr>
          <w:iCs/>
        </w:rPr>
        <w:t>Definitions of each variable are</w:t>
      </w:r>
      <w:r>
        <w:rPr>
          <w:rFonts w:hint="eastAsia"/>
          <w:iCs/>
        </w:rPr>
        <w:t xml:space="preserve"> </w:t>
      </w:r>
      <w:r w:rsidRPr="00A701F7">
        <w:rPr>
          <w:iCs/>
        </w:rPr>
        <w:t xml:space="preserve">described in </w:t>
      </w:r>
      <w:r w:rsidR="0054316E">
        <w:rPr>
          <w:rFonts w:hint="eastAsia"/>
          <w:iCs/>
        </w:rPr>
        <w:t xml:space="preserve">Table A1 in </w:t>
      </w:r>
      <w:r w:rsidRPr="00A701F7">
        <w:rPr>
          <w:iCs/>
        </w:rPr>
        <w:t>Appendix</w:t>
      </w:r>
      <w:r w:rsidR="0054316E">
        <w:rPr>
          <w:rFonts w:hint="eastAsia"/>
          <w:iCs/>
        </w:rPr>
        <w:t xml:space="preserve"> A</w:t>
      </w:r>
      <w:r w:rsidRPr="00A701F7">
        <w:rPr>
          <w:iCs/>
        </w:rPr>
        <w:t>.</w:t>
      </w:r>
    </w:p>
    <w:p w:rsidR="00A701F7" w:rsidRPr="00B501A1" w:rsidRDefault="00A701F7" w:rsidP="001F0251">
      <w:pPr>
        <w:ind w:firstLine="416"/>
        <w:rPr>
          <w:spacing w:val="-2"/>
        </w:rPr>
      </w:pPr>
      <w:r w:rsidRPr="00B501A1">
        <w:rPr>
          <w:iCs/>
          <w:spacing w:val="-1"/>
        </w:rPr>
        <w:t>To examine H1, as a factor to represent the complexity of the company organization, we use logarithm of the number of subsidiaries</w:t>
      </w:r>
      <w:r w:rsidR="00B501A1" w:rsidRPr="00B501A1">
        <w:rPr>
          <w:rFonts w:hint="eastAsia"/>
          <w:iCs/>
          <w:spacing w:val="-1"/>
        </w:rPr>
        <w:t xml:space="preserve"> </w:t>
      </w:r>
      <w:r w:rsidRPr="00B501A1">
        <w:rPr>
          <w:iCs/>
          <w:spacing w:val="-1"/>
        </w:rPr>
        <w:t>ln</w:t>
      </w:r>
      <w:r w:rsidRPr="00B501A1">
        <w:rPr>
          <w:i/>
          <w:iCs/>
          <w:spacing w:val="-1"/>
        </w:rPr>
        <w:t>_</w:t>
      </w:r>
      <w:r w:rsidR="00B501A1" w:rsidRPr="00B501A1">
        <w:rPr>
          <w:rFonts w:hint="eastAsia"/>
          <w:i/>
          <w:iCs/>
          <w:spacing w:val="-1"/>
        </w:rPr>
        <w:t>S</w:t>
      </w:r>
      <w:r w:rsidR="00B501A1" w:rsidRPr="00B501A1">
        <w:rPr>
          <w:i/>
          <w:iCs/>
          <w:spacing w:val="-1"/>
        </w:rPr>
        <w:t>ub</w:t>
      </w:r>
      <w:r w:rsidRPr="00B501A1">
        <w:rPr>
          <w:i/>
          <w:iCs/>
          <w:spacing w:val="-1"/>
        </w:rPr>
        <w:t>sidiary</w:t>
      </w:r>
      <w:r w:rsidRPr="00B501A1">
        <w:rPr>
          <w:iCs/>
          <w:spacing w:val="-1"/>
        </w:rPr>
        <w:t xml:space="preserve">, </w:t>
      </w:r>
      <w:r w:rsidRPr="00B501A1">
        <w:rPr>
          <w:spacing w:val="-1"/>
        </w:rPr>
        <w:t xml:space="preserve">ratio of overseas sales </w:t>
      </w:r>
      <w:r w:rsidRPr="00B501A1">
        <w:rPr>
          <w:i/>
          <w:spacing w:val="-1"/>
        </w:rPr>
        <w:t>Foreignsales</w:t>
      </w:r>
      <w:r w:rsidRPr="00B501A1">
        <w:rPr>
          <w:iCs/>
          <w:spacing w:val="-1"/>
        </w:rPr>
        <w:t>,</w:t>
      </w:r>
      <w:r w:rsidRPr="00B501A1">
        <w:rPr>
          <w:spacing w:val="-1"/>
        </w:rPr>
        <w:t xml:space="preserve"> and manufacturing industry dummy variable</w:t>
      </w:r>
      <w:r w:rsidR="00B501A1" w:rsidRPr="00B501A1">
        <w:rPr>
          <w:rFonts w:hint="eastAsia"/>
          <w:spacing w:val="-1"/>
        </w:rPr>
        <w:t xml:space="preserve"> </w:t>
      </w:r>
      <w:r w:rsidRPr="00B501A1">
        <w:rPr>
          <w:i/>
          <w:spacing w:val="-1"/>
        </w:rPr>
        <w:t>Manufact</w:t>
      </w:r>
      <w:r w:rsidRPr="00B501A1">
        <w:rPr>
          <w:spacing w:val="-1"/>
        </w:rPr>
        <w:t xml:space="preserve">. With regard to the predictive sign, we expect </w:t>
      </w:r>
      <w:r w:rsidRPr="00B501A1">
        <w:rPr>
          <w:i/>
          <w:spacing w:val="-1"/>
        </w:rPr>
        <w:t>β</w:t>
      </w:r>
      <w:r w:rsidRPr="00B501A1">
        <w:rPr>
          <w:spacing w:val="-1"/>
          <w:vertAlign w:val="subscript"/>
        </w:rPr>
        <w:t>1</w:t>
      </w:r>
      <w:r w:rsidR="00B501A1" w:rsidRPr="00B501A1">
        <w:rPr>
          <w:rFonts w:hint="eastAsia"/>
          <w:spacing w:val="-1"/>
        </w:rPr>
        <w:t xml:space="preserve"> </w:t>
      </w:r>
      <w:r w:rsidRPr="00B501A1">
        <w:rPr>
          <w:spacing w:val="-1"/>
        </w:rPr>
        <w:t>&lt;</w:t>
      </w:r>
      <w:r w:rsidR="00B501A1" w:rsidRPr="00B501A1">
        <w:rPr>
          <w:rFonts w:hint="eastAsia"/>
          <w:spacing w:val="-1"/>
        </w:rPr>
        <w:t xml:space="preserve"> </w:t>
      </w:r>
      <w:r w:rsidRPr="00B501A1">
        <w:rPr>
          <w:spacing w:val="-1"/>
        </w:rPr>
        <w:t xml:space="preserve">0, </w:t>
      </w:r>
      <w:r w:rsidRPr="00B501A1">
        <w:rPr>
          <w:i/>
          <w:spacing w:val="-1"/>
        </w:rPr>
        <w:t>β</w:t>
      </w:r>
      <w:r w:rsidRPr="00B501A1">
        <w:rPr>
          <w:spacing w:val="-1"/>
          <w:vertAlign w:val="subscript"/>
        </w:rPr>
        <w:t>2</w:t>
      </w:r>
      <w:r w:rsidR="00B501A1" w:rsidRPr="00B501A1">
        <w:rPr>
          <w:rFonts w:hint="eastAsia"/>
          <w:spacing w:val="-1"/>
        </w:rPr>
        <w:t xml:space="preserve"> </w:t>
      </w:r>
      <w:r w:rsidRPr="00B501A1">
        <w:rPr>
          <w:spacing w:val="-1"/>
        </w:rPr>
        <w:t>&lt;</w:t>
      </w:r>
      <w:r w:rsidR="00B501A1" w:rsidRPr="00B501A1">
        <w:rPr>
          <w:rFonts w:hint="eastAsia"/>
          <w:spacing w:val="-1"/>
        </w:rPr>
        <w:t xml:space="preserve"> </w:t>
      </w:r>
      <w:r w:rsidRPr="00B501A1">
        <w:rPr>
          <w:spacing w:val="-1"/>
        </w:rPr>
        <w:t xml:space="preserve">0, and </w:t>
      </w:r>
      <w:r w:rsidRPr="00B501A1">
        <w:rPr>
          <w:i/>
          <w:spacing w:val="-1"/>
        </w:rPr>
        <w:t>β</w:t>
      </w:r>
      <w:r w:rsidRPr="00B501A1">
        <w:rPr>
          <w:spacing w:val="-1"/>
          <w:vertAlign w:val="subscript"/>
        </w:rPr>
        <w:t>3</w:t>
      </w:r>
      <w:r w:rsidR="00B501A1" w:rsidRPr="00B501A1">
        <w:rPr>
          <w:rFonts w:hint="eastAsia"/>
          <w:spacing w:val="-1"/>
        </w:rPr>
        <w:t xml:space="preserve"> </w:t>
      </w:r>
      <w:r w:rsidRPr="00B501A1">
        <w:rPr>
          <w:spacing w:val="-1"/>
        </w:rPr>
        <w:t>&lt;</w:t>
      </w:r>
      <w:r w:rsidR="00B501A1" w:rsidRPr="00B501A1">
        <w:rPr>
          <w:rFonts w:hint="eastAsia"/>
          <w:spacing w:val="-1"/>
        </w:rPr>
        <w:t xml:space="preserve"> </w:t>
      </w:r>
      <w:r w:rsidRPr="00B501A1">
        <w:rPr>
          <w:spacing w:val="-1"/>
        </w:rPr>
        <w:t>0</w:t>
      </w:r>
      <w:r w:rsidR="00B501A1" w:rsidRPr="00B501A1">
        <w:rPr>
          <w:rFonts w:hint="eastAsia"/>
          <w:spacing w:val="-1"/>
        </w:rPr>
        <w:t xml:space="preserve"> </w:t>
      </w:r>
      <w:r w:rsidRPr="00B501A1">
        <w:rPr>
          <w:spacing w:val="-1"/>
        </w:rPr>
        <w:t>to hold, based on H1;</w:t>
      </w:r>
      <w:r w:rsidR="00B501A1" w:rsidRPr="00B501A1">
        <w:rPr>
          <w:rFonts w:hint="eastAsia"/>
          <w:spacing w:val="-1"/>
        </w:rPr>
        <w:t xml:space="preserve"> </w:t>
      </w:r>
      <w:r w:rsidRPr="00B501A1">
        <w:rPr>
          <w:spacing w:val="-2"/>
        </w:rPr>
        <w:t>however, since the ratio of overseas sales indicates the potential for future growth, we expect</w:t>
      </w:r>
      <w:r w:rsidR="00B501A1" w:rsidRPr="00B501A1">
        <w:rPr>
          <w:rFonts w:hint="eastAsia"/>
          <w:spacing w:val="-2"/>
        </w:rPr>
        <w:t xml:space="preserve"> </w:t>
      </w:r>
      <w:r w:rsidRPr="00B501A1">
        <w:rPr>
          <w:i/>
          <w:spacing w:val="-2"/>
        </w:rPr>
        <w:t>β</w:t>
      </w:r>
      <w:r w:rsidRPr="00B501A1">
        <w:rPr>
          <w:spacing w:val="-2"/>
          <w:vertAlign w:val="subscript"/>
        </w:rPr>
        <w:t>2</w:t>
      </w:r>
      <w:r w:rsidR="00B501A1" w:rsidRPr="00B501A1">
        <w:rPr>
          <w:rFonts w:hint="eastAsia"/>
          <w:spacing w:val="-2"/>
        </w:rPr>
        <w:t xml:space="preserve"> </w:t>
      </w:r>
      <w:r w:rsidRPr="00B501A1">
        <w:rPr>
          <w:spacing w:val="-2"/>
        </w:rPr>
        <w:t>&gt;</w:t>
      </w:r>
      <w:r w:rsidR="00B501A1" w:rsidRPr="00B501A1">
        <w:rPr>
          <w:rFonts w:hint="eastAsia"/>
          <w:spacing w:val="-2"/>
        </w:rPr>
        <w:t xml:space="preserve"> </w:t>
      </w:r>
      <w:r w:rsidRPr="00B501A1">
        <w:rPr>
          <w:spacing w:val="-2"/>
        </w:rPr>
        <w:t>0.</w:t>
      </w:r>
    </w:p>
    <w:p w:rsidR="00A701F7" w:rsidRPr="00A701F7" w:rsidRDefault="00A701F7" w:rsidP="001F0251">
      <w:pPr>
        <w:ind w:firstLine="428"/>
        <w:rPr>
          <w:spacing w:val="2"/>
        </w:rPr>
      </w:pPr>
      <w:r w:rsidRPr="00A701F7">
        <w:rPr>
          <w:spacing w:val="2"/>
        </w:rPr>
        <w:t xml:space="preserve">To </w:t>
      </w:r>
      <w:r w:rsidRPr="00A701F7">
        <w:rPr>
          <w:iCs/>
        </w:rPr>
        <w:t>examine</w:t>
      </w:r>
      <w:r w:rsidRPr="00A701F7">
        <w:rPr>
          <w:spacing w:val="2"/>
        </w:rPr>
        <w:t xml:space="preserve"> H2, as a factor causing a lack of transparency, we use intangible-fixed-assets-to-sales ratio </w:t>
      </w:r>
      <w:r w:rsidRPr="00A701F7">
        <w:rPr>
          <w:i/>
          <w:spacing w:val="2"/>
        </w:rPr>
        <w:t>Intangibles</w:t>
      </w:r>
      <w:r w:rsidRPr="00A701F7">
        <w:rPr>
          <w:spacing w:val="2"/>
        </w:rPr>
        <w:t xml:space="preserve"> and R&amp;D-to-sales ratio </w:t>
      </w:r>
      <w:r w:rsidRPr="00A701F7">
        <w:rPr>
          <w:i/>
          <w:spacing w:val="2"/>
        </w:rPr>
        <w:t>Rd</w:t>
      </w:r>
      <w:r w:rsidRPr="00A701F7">
        <w:rPr>
          <w:spacing w:val="2"/>
        </w:rPr>
        <w:t xml:space="preserve">. </w:t>
      </w:r>
      <w:r w:rsidRPr="00A701F7">
        <w:t>Regarding the predictive sign, we expect</w:t>
      </w:r>
      <w:r w:rsidR="00B501A1">
        <w:rPr>
          <w:rFonts w:hint="eastAsia"/>
        </w:rPr>
        <w:t xml:space="preserve"> </w:t>
      </w:r>
      <w:r w:rsidRPr="00B501A1">
        <w:rPr>
          <w:i/>
          <w:spacing w:val="2"/>
        </w:rPr>
        <w:t>β</w:t>
      </w:r>
      <w:r w:rsidRPr="00A701F7">
        <w:rPr>
          <w:spacing w:val="2"/>
          <w:vertAlign w:val="subscript"/>
        </w:rPr>
        <w:t>4</w:t>
      </w:r>
      <w:r w:rsidR="00B501A1" w:rsidRPr="00B501A1">
        <w:rPr>
          <w:rFonts w:hint="eastAsia"/>
          <w:spacing w:val="2"/>
        </w:rPr>
        <w:t xml:space="preserve"> </w:t>
      </w:r>
      <w:r w:rsidRPr="00A701F7">
        <w:rPr>
          <w:spacing w:val="2"/>
        </w:rPr>
        <w:t>&lt;</w:t>
      </w:r>
      <w:r w:rsidR="00B501A1">
        <w:rPr>
          <w:rFonts w:hint="eastAsia"/>
          <w:spacing w:val="2"/>
        </w:rPr>
        <w:t xml:space="preserve"> </w:t>
      </w:r>
      <w:r w:rsidRPr="00A701F7">
        <w:rPr>
          <w:spacing w:val="2"/>
        </w:rPr>
        <w:t xml:space="preserve">0 and </w:t>
      </w:r>
      <w:r w:rsidRPr="00B501A1">
        <w:rPr>
          <w:i/>
          <w:spacing w:val="2"/>
        </w:rPr>
        <w:t>β</w:t>
      </w:r>
      <w:r w:rsidRPr="00A701F7">
        <w:rPr>
          <w:spacing w:val="2"/>
          <w:vertAlign w:val="subscript"/>
        </w:rPr>
        <w:t>5</w:t>
      </w:r>
      <w:r w:rsidR="00B501A1" w:rsidRPr="00B501A1">
        <w:rPr>
          <w:rFonts w:hint="eastAsia"/>
          <w:spacing w:val="2"/>
        </w:rPr>
        <w:t xml:space="preserve"> </w:t>
      </w:r>
      <w:r w:rsidRPr="00A701F7">
        <w:rPr>
          <w:spacing w:val="2"/>
        </w:rPr>
        <w:t>&lt;</w:t>
      </w:r>
      <w:r w:rsidR="00B501A1">
        <w:rPr>
          <w:rFonts w:hint="eastAsia"/>
          <w:spacing w:val="2"/>
        </w:rPr>
        <w:t xml:space="preserve"> </w:t>
      </w:r>
      <w:r w:rsidRPr="00A701F7">
        <w:rPr>
          <w:spacing w:val="2"/>
        </w:rPr>
        <w:t>0.</w:t>
      </w:r>
    </w:p>
    <w:p w:rsidR="00A701F7" w:rsidRPr="00A701F7" w:rsidRDefault="00A701F7" w:rsidP="001F0251">
      <w:pPr>
        <w:ind w:firstLine="428"/>
        <w:rPr>
          <w:spacing w:val="2"/>
        </w:rPr>
      </w:pPr>
      <w:r w:rsidRPr="00A701F7">
        <w:rPr>
          <w:spacing w:val="2"/>
        </w:rPr>
        <w:t xml:space="preserve">To examine H3, as a factor causing the transparency increase, we use advertising-to-sales ratio </w:t>
      </w:r>
      <w:r w:rsidRPr="00A701F7">
        <w:rPr>
          <w:i/>
          <w:spacing w:val="2"/>
        </w:rPr>
        <w:t>Advertise</w:t>
      </w:r>
      <w:r w:rsidRPr="00B501A1">
        <w:rPr>
          <w:spacing w:val="2"/>
        </w:rPr>
        <w:t>.</w:t>
      </w:r>
      <w:r w:rsidR="00B501A1" w:rsidRPr="00B501A1">
        <w:rPr>
          <w:rFonts w:hint="eastAsia"/>
          <w:spacing w:val="2"/>
        </w:rPr>
        <w:t xml:space="preserve"> </w:t>
      </w:r>
      <w:r w:rsidRPr="00B501A1">
        <w:rPr>
          <w:spacing w:val="2"/>
        </w:rPr>
        <w:t>I</w:t>
      </w:r>
      <w:r w:rsidRPr="00A701F7">
        <w:rPr>
          <w:spacing w:val="2"/>
        </w:rPr>
        <w:t>n addition, following Hanlon and Slemrod</w:t>
      </w:r>
      <w:r w:rsidR="00B501A1">
        <w:rPr>
          <w:rFonts w:hint="eastAsia"/>
          <w:spacing w:val="2"/>
        </w:rPr>
        <w:t xml:space="preserve"> </w:t>
      </w:r>
      <w:r w:rsidRPr="00A701F7">
        <w:rPr>
          <w:spacing w:val="2"/>
        </w:rPr>
        <w:t>(2009),</w:t>
      </w:r>
      <w:r w:rsidR="00B501A1">
        <w:rPr>
          <w:rFonts w:hint="eastAsia"/>
          <w:spacing w:val="2"/>
        </w:rPr>
        <w:t xml:space="preserve"> </w:t>
      </w:r>
      <w:r w:rsidRPr="00A701F7">
        <w:rPr>
          <w:spacing w:val="2"/>
        </w:rPr>
        <w:t>we set dummy variables</w:t>
      </w:r>
      <w:r w:rsidR="00B501A1">
        <w:rPr>
          <w:rFonts w:hint="eastAsia"/>
          <w:spacing w:val="2"/>
        </w:rPr>
        <w:t xml:space="preserve"> </w:t>
      </w:r>
      <w:r w:rsidRPr="00A701F7">
        <w:rPr>
          <w:spacing w:val="2"/>
        </w:rPr>
        <w:t xml:space="preserve">for the company being higher than the overall median. Specifically, we set the </w:t>
      </w:r>
      <w:r w:rsidRPr="00A701F7">
        <w:rPr>
          <w:i/>
          <w:spacing w:val="2"/>
        </w:rPr>
        <w:t>High rd</w:t>
      </w:r>
      <w:r w:rsidRPr="00A701F7">
        <w:rPr>
          <w:spacing w:val="2"/>
        </w:rPr>
        <w:t xml:space="preserve"> and </w:t>
      </w:r>
      <w:r w:rsidRPr="00A701F7">
        <w:rPr>
          <w:i/>
          <w:spacing w:val="2"/>
        </w:rPr>
        <w:t>High advertise</w:t>
      </w:r>
      <w:r w:rsidRPr="00A701F7">
        <w:rPr>
          <w:spacing w:val="2"/>
        </w:rPr>
        <w:t xml:space="preserve"> variables</w:t>
      </w:r>
      <w:r w:rsidR="00B501A1">
        <w:rPr>
          <w:rFonts w:hint="eastAsia"/>
          <w:spacing w:val="2"/>
        </w:rPr>
        <w:t xml:space="preserve"> </w:t>
      </w:r>
      <w:r w:rsidRPr="00A701F7">
        <w:rPr>
          <w:spacing w:val="2"/>
        </w:rPr>
        <w:t>as 1 for companies which are higher than the median and 0</w:t>
      </w:r>
      <w:r w:rsidR="00B501A1">
        <w:rPr>
          <w:rFonts w:hint="eastAsia"/>
          <w:spacing w:val="2"/>
        </w:rPr>
        <w:t xml:space="preserve"> if</w:t>
      </w:r>
      <w:r w:rsidRPr="00A701F7">
        <w:rPr>
          <w:spacing w:val="2"/>
        </w:rPr>
        <w:t xml:space="preserve"> otherwise. </w:t>
      </w:r>
      <w:r w:rsidRPr="00A701F7">
        <w:t>With regard to the predictive sign, we expect</w:t>
      </w:r>
      <w:r w:rsidR="00B501A1">
        <w:rPr>
          <w:rFonts w:hint="eastAsia"/>
        </w:rPr>
        <w:t xml:space="preserve"> </w:t>
      </w:r>
      <w:r w:rsidRPr="00B501A1">
        <w:rPr>
          <w:i/>
          <w:spacing w:val="2"/>
        </w:rPr>
        <w:t>β</w:t>
      </w:r>
      <w:r w:rsidRPr="00A701F7">
        <w:rPr>
          <w:spacing w:val="2"/>
          <w:vertAlign w:val="subscript"/>
        </w:rPr>
        <w:t>6</w:t>
      </w:r>
      <w:r w:rsidR="00B501A1" w:rsidRPr="00B501A1">
        <w:rPr>
          <w:rFonts w:hint="eastAsia"/>
          <w:spacing w:val="2"/>
        </w:rPr>
        <w:t xml:space="preserve"> </w:t>
      </w:r>
      <w:r w:rsidRPr="00A701F7">
        <w:rPr>
          <w:spacing w:val="2"/>
        </w:rPr>
        <w:t>&gt;</w:t>
      </w:r>
      <w:r w:rsidR="00B501A1">
        <w:rPr>
          <w:rFonts w:hint="eastAsia"/>
          <w:spacing w:val="2"/>
        </w:rPr>
        <w:t xml:space="preserve"> </w:t>
      </w:r>
      <w:r w:rsidRPr="00A701F7">
        <w:rPr>
          <w:spacing w:val="2"/>
        </w:rPr>
        <w:t xml:space="preserve">0, </w:t>
      </w:r>
      <w:r w:rsidRPr="00B501A1">
        <w:rPr>
          <w:i/>
          <w:spacing w:val="2"/>
        </w:rPr>
        <w:t>β</w:t>
      </w:r>
      <w:r w:rsidRPr="00A701F7">
        <w:rPr>
          <w:spacing w:val="2"/>
          <w:vertAlign w:val="subscript"/>
        </w:rPr>
        <w:t>7</w:t>
      </w:r>
      <w:r w:rsidR="00B501A1" w:rsidRPr="00B501A1">
        <w:rPr>
          <w:rFonts w:hint="eastAsia"/>
          <w:spacing w:val="2"/>
        </w:rPr>
        <w:t xml:space="preserve"> </w:t>
      </w:r>
      <w:r w:rsidRPr="00A701F7">
        <w:rPr>
          <w:spacing w:val="2"/>
        </w:rPr>
        <w:t>&lt;</w:t>
      </w:r>
      <w:r w:rsidR="00B501A1">
        <w:rPr>
          <w:rFonts w:hint="eastAsia"/>
          <w:spacing w:val="2"/>
        </w:rPr>
        <w:t xml:space="preserve"> </w:t>
      </w:r>
      <w:r w:rsidRPr="00A701F7">
        <w:rPr>
          <w:spacing w:val="2"/>
        </w:rPr>
        <w:t xml:space="preserve">0, and </w:t>
      </w:r>
      <w:r w:rsidRPr="00B501A1">
        <w:rPr>
          <w:i/>
          <w:spacing w:val="2"/>
        </w:rPr>
        <w:t>β</w:t>
      </w:r>
      <w:r w:rsidRPr="00A701F7">
        <w:rPr>
          <w:spacing w:val="2"/>
          <w:vertAlign w:val="subscript"/>
        </w:rPr>
        <w:t>8</w:t>
      </w:r>
      <w:r w:rsidR="00B501A1" w:rsidRPr="00B501A1">
        <w:rPr>
          <w:rFonts w:hint="eastAsia"/>
          <w:spacing w:val="2"/>
        </w:rPr>
        <w:t xml:space="preserve"> </w:t>
      </w:r>
      <w:r w:rsidRPr="00A701F7">
        <w:rPr>
          <w:spacing w:val="2"/>
        </w:rPr>
        <w:t>&gt;</w:t>
      </w:r>
      <w:r w:rsidR="00B501A1">
        <w:rPr>
          <w:rFonts w:hint="eastAsia"/>
          <w:spacing w:val="2"/>
        </w:rPr>
        <w:t xml:space="preserve"> </w:t>
      </w:r>
      <w:r w:rsidRPr="00A701F7">
        <w:rPr>
          <w:spacing w:val="2"/>
        </w:rPr>
        <w:t>0.</w:t>
      </w:r>
    </w:p>
    <w:p w:rsidR="00A701F7" w:rsidRPr="00A701F7" w:rsidRDefault="00A701F7" w:rsidP="001F0251">
      <w:pPr>
        <w:ind w:firstLine="428"/>
        <w:rPr>
          <w:spacing w:val="2"/>
        </w:rPr>
      </w:pPr>
      <w:r w:rsidRPr="00A701F7">
        <w:rPr>
          <w:spacing w:val="2"/>
        </w:rPr>
        <w:t xml:space="preserve">To </w:t>
      </w:r>
      <w:r w:rsidRPr="00A701F7">
        <w:rPr>
          <w:iCs/>
        </w:rPr>
        <w:t>examine</w:t>
      </w:r>
      <w:r w:rsidRPr="00A701F7">
        <w:rPr>
          <w:spacing w:val="2"/>
        </w:rPr>
        <w:t xml:space="preserve"> H4, we use </w:t>
      </w:r>
      <w:r w:rsidRPr="00A701F7">
        <w:rPr>
          <w:iCs/>
        </w:rPr>
        <w:t xml:space="preserve">executive compensation </w:t>
      </w:r>
      <w:r w:rsidRPr="00A701F7">
        <w:rPr>
          <w:i/>
          <w:iCs/>
        </w:rPr>
        <w:t>Compensation</w:t>
      </w:r>
      <w:r w:rsidR="007A0B94" w:rsidRPr="007A0B94">
        <w:rPr>
          <w:rFonts w:hint="eastAsia"/>
          <w:iCs/>
        </w:rPr>
        <w:t xml:space="preserve"> </w:t>
      </w:r>
      <w:r w:rsidRPr="00A701F7">
        <w:rPr>
          <w:spacing w:val="2"/>
        </w:rPr>
        <w:t>as a proxy variable in order to</w:t>
      </w:r>
      <w:r w:rsidR="007A0B94">
        <w:rPr>
          <w:rFonts w:hint="eastAsia"/>
          <w:spacing w:val="2"/>
        </w:rPr>
        <w:t xml:space="preserve"> </w:t>
      </w:r>
      <w:r w:rsidRPr="00A701F7">
        <w:rPr>
          <w:spacing w:val="2"/>
        </w:rPr>
        <w:t xml:space="preserve">inspect whether CG is functioning well. </w:t>
      </w:r>
      <w:r w:rsidRPr="00A701F7">
        <w:t>With regard to the predictive sign, we expect</w:t>
      </w:r>
      <w:r w:rsidR="007A0B94">
        <w:rPr>
          <w:rFonts w:hint="eastAsia"/>
        </w:rPr>
        <w:t xml:space="preserve"> </w:t>
      </w:r>
      <w:r w:rsidRPr="007A0B94">
        <w:rPr>
          <w:i/>
          <w:spacing w:val="2"/>
        </w:rPr>
        <w:t>β</w:t>
      </w:r>
      <w:r w:rsidRPr="00A701F7">
        <w:rPr>
          <w:spacing w:val="2"/>
          <w:vertAlign w:val="subscript"/>
        </w:rPr>
        <w:t>9</w:t>
      </w:r>
      <w:r w:rsidR="007A0B94" w:rsidRPr="007A0B94">
        <w:rPr>
          <w:rFonts w:hint="eastAsia"/>
          <w:spacing w:val="2"/>
        </w:rPr>
        <w:t xml:space="preserve"> </w:t>
      </w:r>
      <w:r w:rsidRPr="00A701F7">
        <w:rPr>
          <w:spacing w:val="2"/>
        </w:rPr>
        <w:t>≠</w:t>
      </w:r>
      <w:r w:rsidR="007A0B94">
        <w:rPr>
          <w:rFonts w:hint="eastAsia"/>
          <w:spacing w:val="2"/>
        </w:rPr>
        <w:t xml:space="preserve"> </w:t>
      </w:r>
      <w:r w:rsidRPr="00A701F7">
        <w:rPr>
          <w:spacing w:val="2"/>
        </w:rPr>
        <w:t>0. In addition, we use, as a control variable, long</w:t>
      </w:r>
      <w:r w:rsidR="007A0B94">
        <w:rPr>
          <w:rFonts w:hint="eastAsia"/>
          <w:spacing w:val="2"/>
        </w:rPr>
        <w:t>-</w:t>
      </w:r>
      <w:r w:rsidRPr="00A701F7">
        <w:rPr>
          <w:spacing w:val="2"/>
        </w:rPr>
        <w:t>term</w:t>
      </w:r>
      <w:r w:rsidR="007A0B94">
        <w:rPr>
          <w:rFonts w:hint="eastAsia"/>
          <w:spacing w:val="2"/>
        </w:rPr>
        <w:t xml:space="preserve"> </w:t>
      </w:r>
      <w:r w:rsidRPr="00A701F7">
        <w:rPr>
          <w:spacing w:val="2"/>
        </w:rPr>
        <w:t xml:space="preserve">debt to total asset ratio </w:t>
      </w:r>
      <w:r w:rsidRPr="00A701F7">
        <w:rPr>
          <w:i/>
          <w:spacing w:val="2"/>
        </w:rPr>
        <w:t>Leverage</w:t>
      </w:r>
      <w:r w:rsidRPr="00A701F7">
        <w:rPr>
          <w:spacing w:val="2"/>
        </w:rPr>
        <w:t xml:space="preserve">, </w:t>
      </w:r>
      <w:r w:rsidRPr="00A701F7">
        <w:rPr>
          <w:i/>
          <w:spacing w:val="2"/>
        </w:rPr>
        <w:t>Current_rate</w:t>
      </w:r>
      <w:r w:rsidRPr="00A701F7">
        <w:rPr>
          <w:spacing w:val="2"/>
        </w:rPr>
        <w:t xml:space="preserve">, interest coverage ratio </w:t>
      </w:r>
      <w:r w:rsidRPr="00A701F7">
        <w:rPr>
          <w:i/>
          <w:spacing w:val="2"/>
        </w:rPr>
        <w:t>Interestcoverage</w:t>
      </w:r>
      <w:r w:rsidRPr="00A701F7">
        <w:rPr>
          <w:spacing w:val="2"/>
        </w:rPr>
        <w:t xml:space="preserve">, and loss carried forward </w:t>
      </w:r>
      <w:r w:rsidRPr="00A701F7">
        <w:rPr>
          <w:i/>
          <w:spacing w:val="2"/>
        </w:rPr>
        <w:t>Loss_dummy</w:t>
      </w:r>
      <w:r w:rsidRPr="00A701F7">
        <w:rPr>
          <w:spacing w:val="2"/>
        </w:rPr>
        <w:t xml:space="preserve">. </w:t>
      </w:r>
      <w:r w:rsidRPr="00A701F7">
        <w:t>For the predictive sign, because this evaluation is of safety as perceived by investors, we expect</w:t>
      </w:r>
      <w:r w:rsidR="007A0B94">
        <w:rPr>
          <w:rFonts w:hint="eastAsia"/>
        </w:rPr>
        <w:t xml:space="preserve"> </w:t>
      </w:r>
      <w:r w:rsidRPr="007A0B94">
        <w:rPr>
          <w:i/>
          <w:spacing w:val="2"/>
        </w:rPr>
        <w:t>β</w:t>
      </w:r>
      <w:r w:rsidRPr="00A701F7">
        <w:rPr>
          <w:spacing w:val="2"/>
          <w:vertAlign w:val="subscript"/>
        </w:rPr>
        <w:t>10</w:t>
      </w:r>
      <w:r w:rsidR="007A0B94" w:rsidRPr="007A0B94">
        <w:rPr>
          <w:rFonts w:hint="eastAsia"/>
          <w:spacing w:val="2"/>
        </w:rPr>
        <w:t xml:space="preserve"> </w:t>
      </w:r>
      <w:r w:rsidRPr="00A701F7">
        <w:rPr>
          <w:spacing w:val="2"/>
        </w:rPr>
        <w:t>≠</w:t>
      </w:r>
      <w:r w:rsidR="007A0B94">
        <w:rPr>
          <w:rFonts w:hint="eastAsia"/>
          <w:spacing w:val="2"/>
        </w:rPr>
        <w:t xml:space="preserve"> </w:t>
      </w:r>
      <w:r w:rsidRPr="00A701F7">
        <w:rPr>
          <w:spacing w:val="2"/>
        </w:rPr>
        <w:t xml:space="preserve">0, </w:t>
      </w:r>
      <w:r w:rsidRPr="007A0B94">
        <w:rPr>
          <w:i/>
          <w:spacing w:val="2"/>
        </w:rPr>
        <w:t>β</w:t>
      </w:r>
      <w:r w:rsidRPr="00A701F7">
        <w:rPr>
          <w:spacing w:val="2"/>
          <w:vertAlign w:val="subscript"/>
        </w:rPr>
        <w:t>11</w:t>
      </w:r>
      <w:r w:rsidR="007A0B94" w:rsidRPr="007A0B94">
        <w:rPr>
          <w:rFonts w:hint="eastAsia"/>
          <w:spacing w:val="2"/>
        </w:rPr>
        <w:t xml:space="preserve"> </w:t>
      </w:r>
      <w:r w:rsidRPr="00A701F7">
        <w:rPr>
          <w:spacing w:val="2"/>
        </w:rPr>
        <w:t>≠</w:t>
      </w:r>
      <w:r w:rsidR="007A0B94">
        <w:rPr>
          <w:rFonts w:hint="eastAsia"/>
          <w:spacing w:val="2"/>
        </w:rPr>
        <w:t xml:space="preserve"> </w:t>
      </w:r>
      <w:r w:rsidRPr="00A701F7">
        <w:rPr>
          <w:spacing w:val="2"/>
        </w:rPr>
        <w:t xml:space="preserve">0, and </w:t>
      </w:r>
      <w:r w:rsidRPr="007A0B94">
        <w:rPr>
          <w:i/>
          <w:spacing w:val="2"/>
        </w:rPr>
        <w:t>β</w:t>
      </w:r>
      <w:r w:rsidRPr="00A701F7">
        <w:rPr>
          <w:spacing w:val="2"/>
          <w:vertAlign w:val="subscript"/>
        </w:rPr>
        <w:t>12</w:t>
      </w:r>
      <w:r w:rsidR="007A0B94" w:rsidRPr="007A0B94">
        <w:rPr>
          <w:rFonts w:hint="eastAsia"/>
          <w:spacing w:val="2"/>
        </w:rPr>
        <w:t xml:space="preserve"> </w:t>
      </w:r>
      <w:r w:rsidRPr="00A701F7">
        <w:rPr>
          <w:spacing w:val="2"/>
        </w:rPr>
        <w:t>≠</w:t>
      </w:r>
      <w:r w:rsidR="007A0B94">
        <w:rPr>
          <w:rFonts w:hint="eastAsia"/>
          <w:spacing w:val="2"/>
        </w:rPr>
        <w:t xml:space="preserve"> </w:t>
      </w:r>
      <w:r w:rsidRPr="00A701F7">
        <w:rPr>
          <w:spacing w:val="2"/>
        </w:rPr>
        <w:t xml:space="preserve">0. Since </w:t>
      </w:r>
      <w:r w:rsidRPr="00A701F7">
        <w:rPr>
          <w:i/>
          <w:spacing w:val="2"/>
        </w:rPr>
        <w:t>Loss_dummy</w:t>
      </w:r>
      <w:r w:rsidR="007A0B94" w:rsidRPr="007A0B94">
        <w:rPr>
          <w:rFonts w:hint="eastAsia"/>
          <w:spacing w:val="2"/>
        </w:rPr>
        <w:t xml:space="preserve"> </w:t>
      </w:r>
      <w:r w:rsidRPr="00A701F7">
        <w:rPr>
          <w:spacing w:val="2"/>
        </w:rPr>
        <w:t xml:space="preserve">measures the extent that corporate performance has not been good in the past fiscal year and is taken as a minus to corporate performance in the future by the market, we </w:t>
      </w:r>
      <w:r w:rsidRPr="00A701F7">
        <w:t>expect</w:t>
      </w:r>
      <w:r w:rsidR="007A0B94">
        <w:rPr>
          <w:rFonts w:hint="eastAsia"/>
        </w:rPr>
        <w:t xml:space="preserve"> </w:t>
      </w:r>
      <w:r w:rsidRPr="007A0B94">
        <w:rPr>
          <w:i/>
          <w:spacing w:val="2"/>
        </w:rPr>
        <w:t>β</w:t>
      </w:r>
      <w:r w:rsidRPr="00A701F7">
        <w:rPr>
          <w:spacing w:val="2"/>
          <w:vertAlign w:val="subscript"/>
        </w:rPr>
        <w:t>13</w:t>
      </w:r>
      <w:r w:rsidR="007A0B94" w:rsidRPr="007A0B94">
        <w:rPr>
          <w:rFonts w:hint="eastAsia"/>
          <w:spacing w:val="2"/>
        </w:rPr>
        <w:t xml:space="preserve"> </w:t>
      </w:r>
      <w:r w:rsidRPr="00A701F7">
        <w:rPr>
          <w:spacing w:val="2"/>
        </w:rPr>
        <w:t>&lt;</w:t>
      </w:r>
      <w:r w:rsidR="007A0B94">
        <w:rPr>
          <w:rFonts w:hint="eastAsia"/>
          <w:spacing w:val="2"/>
        </w:rPr>
        <w:t xml:space="preserve"> </w:t>
      </w:r>
      <w:r w:rsidRPr="00A701F7">
        <w:rPr>
          <w:spacing w:val="2"/>
        </w:rPr>
        <w:t>0.</w:t>
      </w:r>
    </w:p>
    <w:p w:rsidR="00A701F7" w:rsidRPr="00A701F7" w:rsidRDefault="00A701F7" w:rsidP="001F0251">
      <w:pPr>
        <w:ind w:firstLine="428"/>
        <w:rPr>
          <w:i/>
          <w:iCs/>
        </w:rPr>
      </w:pPr>
      <w:r w:rsidRPr="00A701F7">
        <w:rPr>
          <w:spacing w:val="2"/>
        </w:rPr>
        <w:t xml:space="preserve">To </w:t>
      </w:r>
      <w:r w:rsidRPr="00A701F7">
        <w:rPr>
          <w:iCs/>
        </w:rPr>
        <w:t>examine</w:t>
      </w:r>
      <w:r w:rsidR="00AC791B">
        <w:rPr>
          <w:rFonts w:hint="eastAsia"/>
          <w:iCs/>
        </w:rPr>
        <w:t xml:space="preserve"> </w:t>
      </w:r>
      <w:r w:rsidRPr="00A701F7">
        <w:rPr>
          <w:spacing w:val="2"/>
        </w:rPr>
        <w:t xml:space="preserve">the relationship between the variable </w:t>
      </w:r>
      <w:r w:rsidRPr="00A701F7">
        <w:rPr>
          <w:i/>
          <w:spacing w:val="2"/>
        </w:rPr>
        <w:t>TAX</w:t>
      </w:r>
      <w:r w:rsidRPr="00A701F7">
        <w:rPr>
          <w:iCs/>
          <w:spacing w:val="2"/>
        </w:rPr>
        <w:t>,</w:t>
      </w:r>
      <w:r w:rsidR="00AC791B">
        <w:rPr>
          <w:rFonts w:hint="eastAsia"/>
          <w:iCs/>
          <w:spacing w:val="2"/>
        </w:rPr>
        <w:t xml:space="preserve"> </w:t>
      </w:r>
      <w:r w:rsidRPr="00A701F7">
        <w:rPr>
          <w:spacing w:val="2"/>
        </w:rPr>
        <w:t>which indicates the status of the tax burden and the reaction of investors,</w:t>
      </w:r>
      <w:r w:rsidRPr="00A701F7">
        <w:rPr>
          <w:iCs/>
        </w:rPr>
        <w:t xml:space="preserve"> we use effective tax rate </w:t>
      </w:r>
      <w:r w:rsidRPr="00A701F7">
        <w:rPr>
          <w:i/>
          <w:iCs/>
        </w:rPr>
        <w:t>ETR</w:t>
      </w:r>
      <w:r w:rsidRPr="00A701F7">
        <w:rPr>
          <w:iCs/>
        </w:rPr>
        <w:t xml:space="preserve"> for the company and cash tax rate </w:t>
      </w:r>
      <w:r w:rsidRPr="00A701F7">
        <w:rPr>
          <w:i/>
          <w:iCs/>
        </w:rPr>
        <w:t>Cash_ETR.</w:t>
      </w:r>
    </w:p>
    <w:p w:rsidR="00A701F7" w:rsidRPr="00A701F7" w:rsidRDefault="00A701F7" w:rsidP="001F0251">
      <w:pPr>
        <w:ind w:firstLine="420"/>
        <w:rPr>
          <w:spacing w:val="2"/>
        </w:rPr>
      </w:pPr>
      <w:r w:rsidRPr="00A701F7">
        <w:rPr>
          <w:iCs/>
        </w:rPr>
        <w:t>When H3 is assumed,</w:t>
      </w:r>
      <w:r w:rsidRPr="00A701F7">
        <w:t xml:space="preserve"> we expect</w:t>
      </w:r>
      <w:r w:rsidR="00AC791B">
        <w:rPr>
          <w:rFonts w:hint="eastAsia"/>
        </w:rPr>
        <w:t xml:space="preserve"> </w:t>
      </w:r>
      <w:r w:rsidRPr="00AC791B">
        <w:rPr>
          <w:i/>
          <w:spacing w:val="2"/>
        </w:rPr>
        <w:t>β</w:t>
      </w:r>
      <w:r w:rsidRPr="00A701F7">
        <w:rPr>
          <w:spacing w:val="2"/>
          <w:vertAlign w:val="subscript"/>
        </w:rPr>
        <w:t>14</w:t>
      </w:r>
      <w:r w:rsidR="00AC791B" w:rsidRPr="00AC791B">
        <w:rPr>
          <w:rFonts w:hint="eastAsia"/>
          <w:spacing w:val="2"/>
        </w:rPr>
        <w:t xml:space="preserve"> </w:t>
      </w:r>
      <w:r w:rsidRPr="00A701F7">
        <w:rPr>
          <w:spacing w:val="2"/>
        </w:rPr>
        <w:t>&gt;</w:t>
      </w:r>
      <w:r w:rsidR="00AC791B">
        <w:rPr>
          <w:rFonts w:hint="eastAsia"/>
          <w:spacing w:val="2"/>
        </w:rPr>
        <w:t xml:space="preserve"> </w:t>
      </w:r>
      <w:r w:rsidRPr="00A701F7">
        <w:rPr>
          <w:spacing w:val="2"/>
        </w:rPr>
        <w:t>0.</w:t>
      </w:r>
      <w:r w:rsidR="00AC791B">
        <w:rPr>
          <w:rFonts w:hint="eastAsia"/>
          <w:spacing w:val="2"/>
        </w:rPr>
        <w:t xml:space="preserve"> </w:t>
      </w:r>
      <w:r w:rsidRPr="00A701F7">
        <w:rPr>
          <w:spacing w:val="2"/>
        </w:rPr>
        <w:t>Descriptive statistics of data are</w:t>
      </w:r>
      <w:r w:rsidR="00AC791B">
        <w:rPr>
          <w:rFonts w:hint="eastAsia"/>
          <w:spacing w:val="2"/>
        </w:rPr>
        <w:t xml:space="preserve"> </w:t>
      </w:r>
      <w:r w:rsidRPr="00A701F7">
        <w:rPr>
          <w:spacing w:val="2"/>
        </w:rPr>
        <w:t>listed in Table 2.</w:t>
      </w:r>
    </w:p>
    <w:p w:rsidR="00A701F7" w:rsidRPr="00A701F7" w:rsidRDefault="00A701F7" w:rsidP="001F0251">
      <w:pPr>
        <w:pStyle w:val="aff"/>
        <w:wordWrap/>
        <w:adjustRightInd/>
        <w:jc w:val="both"/>
        <w:rPr>
          <w:rFonts w:eastAsiaTheme="minorEastAsia" w:cs="Times New Roman"/>
          <w:b w:val="0"/>
          <w:lang w:eastAsia="zh-CN"/>
        </w:rPr>
      </w:pPr>
      <w:r w:rsidRPr="00A701F7">
        <w:rPr>
          <w:rFonts w:cs="Times New Roman"/>
          <w:b w:val="0"/>
        </w:rPr>
        <w:lastRenderedPageBreak/>
        <w:t>Table 2</w:t>
      </w:r>
    </w:p>
    <w:p w:rsidR="00A701F7" w:rsidRPr="00A701F7" w:rsidRDefault="00A701F7" w:rsidP="001F0251">
      <w:pPr>
        <w:pStyle w:val="aff"/>
        <w:wordWrap/>
        <w:adjustRightInd/>
        <w:jc w:val="both"/>
        <w:rPr>
          <w:rFonts w:eastAsiaTheme="minorEastAsia" w:cs="Times New Roman"/>
          <w:b w:val="0"/>
          <w:i/>
          <w:lang w:eastAsia="zh-CN"/>
        </w:rPr>
      </w:pPr>
      <w:r w:rsidRPr="00A701F7">
        <w:rPr>
          <w:rFonts w:cs="Times New Roman"/>
          <w:b w:val="0"/>
          <w:i/>
        </w:rPr>
        <w:t>Descriptive Statistics</w:t>
      </w:r>
    </w:p>
    <w:tbl>
      <w:tblPr>
        <w:tblStyle w:val="13"/>
        <w:tblW w:w="9412" w:type="dxa"/>
        <w:jc w:val="center"/>
        <w:tblBorders>
          <w:top w:val="single" w:sz="12" w:space="0" w:color="000000" w:themeColor="text1"/>
          <w:bottom w:val="single" w:sz="12" w:space="0" w:color="000000" w:themeColor="text1"/>
        </w:tblBorders>
        <w:tblCellMar>
          <w:left w:w="28" w:type="dxa"/>
          <w:right w:w="28" w:type="dxa"/>
        </w:tblCellMar>
        <w:tblLook w:val="0600"/>
      </w:tblPr>
      <w:tblGrid>
        <w:gridCol w:w="1568"/>
        <w:gridCol w:w="1569"/>
        <w:gridCol w:w="1569"/>
        <w:gridCol w:w="1568"/>
        <w:gridCol w:w="1569"/>
        <w:gridCol w:w="1569"/>
      </w:tblGrid>
      <w:tr w:rsidR="00A701F7" w:rsidRPr="00B87256" w:rsidTr="00AC791B">
        <w:trPr>
          <w:trHeight w:val="255"/>
          <w:jc w:val="center"/>
        </w:trPr>
        <w:tc>
          <w:tcPr>
            <w:tcW w:w="1568" w:type="dxa"/>
            <w:tcBorders>
              <w:bottom w:val="single" w:sz="4" w:space="0" w:color="000000" w:themeColor="text1"/>
            </w:tcBorders>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Variable</w:t>
            </w:r>
          </w:p>
        </w:tc>
        <w:tc>
          <w:tcPr>
            <w:tcW w:w="1569" w:type="dxa"/>
            <w:tcBorders>
              <w:bottom w:val="single" w:sz="4" w:space="0" w:color="000000" w:themeColor="text1"/>
            </w:tcBorders>
            <w:shd w:val="clear" w:color="auto" w:fill="auto"/>
            <w:vAlign w:val="center"/>
            <w:hideMark/>
          </w:tcPr>
          <w:p w:rsidR="00A701F7" w:rsidRPr="00AC791B" w:rsidRDefault="00A701F7" w:rsidP="001F0251">
            <w:pPr>
              <w:pStyle w:val="afa"/>
              <w:snapToGrid w:val="0"/>
              <w:rPr>
                <w:rFonts w:eastAsiaTheme="minorEastAsia" w:cs="Times New Roman"/>
                <w:spacing w:val="2"/>
                <w:sz w:val="18"/>
                <w:szCs w:val="18"/>
                <w:lang w:eastAsia="zh-CN"/>
              </w:rPr>
            </w:pPr>
            <w:r w:rsidRPr="00B87256">
              <w:rPr>
                <w:rFonts w:cs="Times New Roman"/>
                <w:spacing w:val="2"/>
                <w:sz w:val="18"/>
                <w:szCs w:val="18"/>
              </w:rPr>
              <w:t>Obs</w:t>
            </w:r>
            <w:r w:rsidR="00AC791B">
              <w:rPr>
                <w:rFonts w:eastAsiaTheme="minorEastAsia" w:cs="Times New Roman" w:hint="eastAsia"/>
                <w:spacing w:val="2"/>
                <w:sz w:val="18"/>
                <w:szCs w:val="18"/>
                <w:lang w:eastAsia="zh-CN"/>
              </w:rPr>
              <w:t>.</w:t>
            </w:r>
          </w:p>
        </w:tc>
        <w:tc>
          <w:tcPr>
            <w:tcW w:w="1569" w:type="dxa"/>
            <w:tcBorders>
              <w:bottom w:val="single" w:sz="4" w:space="0" w:color="000000" w:themeColor="text1"/>
            </w:tcBorders>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Mean</w:t>
            </w:r>
          </w:p>
        </w:tc>
        <w:tc>
          <w:tcPr>
            <w:tcW w:w="1568" w:type="dxa"/>
            <w:tcBorders>
              <w:bottom w:val="single" w:sz="4" w:space="0" w:color="000000" w:themeColor="text1"/>
            </w:tcBorders>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Std.</w:t>
            </w:r>
            <w:r w:rsidR="00AC791B">
              <w:rPr>
                <w:rFonts w:eastAsiaTheme="minorEastAsia" w:cs="Times New Roman" w:hint="eastAsia"/>
                <w:spacing w:val="2"/>
                <w:sz w:val="18"/>
                <w:szCs w:val="18"/>
                <w:lang w:eastAsia="zh-CN"/>
              </w:rPr>
              <w:t xml:space="preserve"> </w:t>
            </w:r>
            <w:r w:rsidR="00AC791B" w:rsidRPr="00B87256">
              <w:rPr>
                <w:rFonts w:cs="Times New Roman"/>
                <w:spacing w:val="2"/>
                <w:sz w:val="18"/>
                <w:szCs w:val="18"/>
              </w:rPr>
              <w:t>dev</w:t>
            </w:r>
            <w:r w:rsidRPr="00B87256">
              <w:rPr>
                <w:rFonts w:cs="Times New Roman"/>
                <w:spacing w:val="2"/>
                <w:sz w:val="18"/>
                <w:szCs w:val="18"/>
              </w:rPr>
              <w:t>.</w:t>
            </w:r>
          </w:p>
        </w:tc>
        <w:tc>
          <w:tcPr>
            <w:tcW w:w="1569" w:type="dxa"/>
            <w:tcBorders>
              <w:bottom w:val="single" w:sz="4" w:space="0" w:color="000000" w:themeColor="text1"/>
            </w:tcBorders>
            <w:shd w:val="clear" w:color="auto" w:fill="auto"/>
            <w:vAlign w:val="center"/>
            <w:hideMark/>
          </w:tcPr>
          <w:p w:rsidR="00A701F7" w:rsidRPr="00AC791B" w:rsidRDefault="00A701F7" w:rsidP="001F0251">
            <w:pPr>
              <w:pStyle w:val="afa"/>
              <w:snapToGrid w:val="0"/>
              <w:rPr>
                <w:rFonts w:eastAsiaTheme="minorEastAsia" w:cs="Times New Roman"/>
                <w:spacing w:val="2"/>
                <w:sz w:val="18"/>
                <w:szCs w:val="18"/>
                <w:lang w:eastAsia="zh-CN"/>
              </w:rPr>
            </w:pPr>
            <w:r w:rsidRPr="00B87256">
              <w:rPr>
                <w:rFonts w:cs="Times New Roman"/>
                <w:spacing w:val="2"/>
                <w:sz w:val="18"/>
                <w:szCs w:val="18"/>
              </w:rPr>
              <w:t>Min</w:t>
            </w:r>
            <w:r w:rsidR="00AC791B">
              <w:rPr>
                <w:rFonts w:eastAsiaTheme="minorEastAsia" w:cs="Times New Roman" w:hint="eastAsia"/>
                <w:spacing w:val="2"/>
                <w:sz w:val="18"/>
                <w:szCs w:val="18"/>
                <w:lang w:eastAsia="zh-CN"/>
              </w:rPr>
              <w:t>.</w:t>
            </w:r>
          </w:p>
        </w:tc>
        <w:tc>
          <w:tcPr>
            <w:tcW w:w="1569" w:type="dxa"/>
            <w:tcBorders>
              <w:bottom w:val="single" w:sz="4" w:space="0" w:color="000000" w:themeColor="text1"/>
            </w:tcBorders>
            <w:shd w:val="clear" w:color="auto" w:fill="auto"/>
            <w:vAlign w:val="center"/>
            <w:hideMark/>
          </w:tcPr>
          <w:p w:rsidR="00A701F7" w:rsidRPr="00AC791B" w:rsidRDefault="00A701F7" w:rsidP="001F0251">
            <w:pPr>
              <w:pStyle w:val="afa"/>
              <w:snapToGrid w:val="0"/>
              <w:rPr>
                <w:rFonts w:eastAsiaTheme="minorEastAsia" w:cs="Times New Roman"/>
                <w:spacing w:val="2"/>
                <w:sz w:val="18"/>
                <w:szCs w:val="18"/>
                <w:lang w:eastAsia="zh-CN"/>
              </w:rPr>
            </w:pPr>
            <w:r w:rsidRPr="00B87256">
              <w:rPr>
                <w:rFonts w:cs="Times New Roman"/>
                <w:spacing w:val="2"/>
                <w:sz w:val="18"/>
                <w:szCs w:val="18"/>
              </w:rPr>
              <w:t>Max</w:t>
            </w:r>
            <w:r w:rsidR="00AC791B">
              <w:rPr>
                <w:rFonts w:eastAsiaTheme="minorEastAsia" w:cs="Times New Roman" w:hint="eastAsia"/>
                <w:spacing w:val="2"/>
                <w:sz w:val="18"/>
                <w:szCs w:val="18"/>
                <w:lang w:eastAsia="zh-CN"/>
              </w:rPr>
              <w:t>.</w:t>
            </w:r>
          </w:p>
        </w:tc>
      </w:tr>
      <w:tr w:rsidR="00A701F7" w:rsidRPr="00B87256" w:rsidTr="00AC791B">
        <w:trPr>
          <w:trHeight w:val="255"/>
          <w:jc w:val="center"/>
        </w:trPr>
        <w:tc>
          <w:tcPr>
            <w:tcW w:w="1568" w:type="dxa"/>
            <w:tcBorders>
              <w:top w:val="single" w:sz="4" w:space="0" w:color="000000" w:themeColor="text1"/>
              <w:bottom w:val="nil"/>
            </w:tcBorders>
            <w:shd w:val="clear" w:color="auto" w:fill="auto"/>
            <w:vAlign w:val="center"/>
            <w:hideMark/>
          </w:tcPr>
          <w:p w:rsidR="00A701F7" w:rsidRPr="00B87256" w:rsidRDefault="00A701F7" w:rsidP="001F0251">
            <w:pPr>
              <w:pStyle w:val="afa"/>
              <w:snapToGrid w:val="0"/>
              <w:rPr>
                <w:rFonts w:cs="Times New Roman"/>
                <w:spacing w:val="2"/>
                <w:sz w:val="18"/>
                <w:szCs w:val="18"/>
              </w:rPr>
            </w:pPr>
            <w:r w:rsidRPr="00AC791B">
              <w:rPr>
                <w:rFonts w:cs="Times New Roman"/>
                <w:i/>
                <w:spacing w:val="2"/>
                <w:sz w:val="18"/>
                <w:szCs w:val="18"/>
              </w:rPr>
              <w:t>C</w:t>
            </w:r>
            <w:r w:rsidRPr="00AC791B">
              <w:rPr>
                <w:rFonts w:cs="Times New Roman" w:hint="eastAsia"/>
                <w:i/>
                <w:spacing w:val="2"/>
                <w:sz w:val="18"/>
                <w:szCs w:val="18"/>
              </w:rPr>
              <w:t>AR</w:t>
            </w:r>
            <w:r w:rsidR="00AC791B">
              <w:rPr>
                <w:rFonts w:eastAsiaTheme="minorEastAsia" w:cs="Times New Roman" w:hint="eastAsia"/>
                <w:spacing w:val="2"/>
                <w:sz w:val="18"/>
                <w:szCs w:val="18"/>
                <w:lang w:eastAsia="zh-CN"/>
              </w:rPr>
              <w:t xml:space="preserve"> </w:t>
            </w:r>
            <w:r w:rsidRPr="00B87256">
              <w:rPr>
                <w:rFonts w:cs="Times New Roman"/>
                <w:spacing w:val="2"/>
                <w:sz w:val="18"/>
                <w:szCs w:val="18"/>
              </w:rPr>
              <w:t>(0,1)</w:t>
            </w:r>
          </w:p>
        </w:tc>
        <w:tc>
          <w:tcPr>
            <w:tcW w:w="1569" w:type="dxa"/>
            <w:tcBorders>
              <w:top w:val="single" w:sz="4" w:space="0" w:color="000000" w:themeColor="text1"/>
              <w:bottom w:val="nil"/>
            </w:tcBorders>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50</w:t>
            </w:r>
          </w:p>
        </w:tc>
        <w:tc>
          <w:tcPr>
            <w:tcW w:w="1569" w:type="dxa"/>
            <w:tcBorders>
              <w:top w:val="single" w:sz="4" w:space="0" w:color="000000" w:themeColor="text1"/>
              <w:bottom w:val="nil"/>
            </w:tcBorders>
            <w:shd w:val="clear" w:color="auto" w:fill="auto"/>
            <w:vAlign w:val="center"/>
            <w:hideMark/>
          </w:tcPr>
          <w:p w:rsidR="00A701F7" w:rsidRPr="003C75E4" w:rsidRDefault="00A701F7" w:rsidP="001F0251">
            <w:pPr>
              <w:tabs>
                <w:tab w:val="decimal" w:pos="198"/>
              </w:tabs>
              <w:adjustRightInd w:val="0"/>
              <w:snapToGrid w:val="0"/>
              <w:ind w:firstLineChars="0" w:firstLine="0"/>
              <w:rPr>
                <w:rFonts w:eastAsiaTheme="minorEastAsia"/>
                <w:sz w:val="18"/>
                <w:szCs w:val="18"/>
              </w:rPr>
            </w:pPr>
            <w:r w:rsidRPr="003C75E4">
              <w:rPr>
                <w:rFonts w:eastAsiaTheme="minorEastAsia"/>
                <w:sz w:val="18"/>
                <w:szCs w:val="18"/>
              </w:rPr>
              <w:t>-0.4191</w:t>
            </w:r>
          </w:p>
        </w:tc>
        <w:tc>
          <w:tcPr>
            <w:tcW w:w="1568" w:type="dxa"/>
            <w:tcBorders>
              <w:top w:val="single" w:sz="4" w:space="0" w:color="000000" w:themeColor="text1"/>
              <w:bottom w:val="nil"/>
            </w:tcBorders>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2.9220</w:t>
            </w:r>
          </w:p>
        </w:tc>
        <w:tc>
          <w:tcPr>
            <w:tcW w:w="1569" w:type="dxa"/>
            <w:tcBorders>
              <w:top w:val="single" w:sz="4" w:space="0" w:color="000000" w:themeColor="text1"/>
              <w:bottom w:val="nil"/>
            </w:tcBorders>
            <w:shd w:val="clear" w:color="auto" w:fill="auto"/>
            <w:vAlign w:val="center"/>
            <w:hideMark/>
          </w:tcPr>
          <w:p w:rsidR="00A701F7" w:rsidRPr="00AC791B" w:rsidRDefault="00A701F7" w:rsidP="001F0251">
            <w:pPr>
              <w:tabs>
                <w:tab w:val="decimal" w:pos="170"/>
              </w:tabs>
              <w:adjustRightInd w:val="0"/>
              <w:snapToGrid w:val="0"/>
              <w:ind w:firstLineChars="0" w:firstLine="0"/>
              <w:rPr>
                <w:rFonts w:eastAsiaTheme="minorEastAsia"/>
                <w:sz w:val="18"/>
                <w:szCs w:val="18"/>
              </w:rPr>
            </w:pPr>
            <w:r w:rsidRPr="00AC791B">
              <w:rPr>
                <w:rFonts w:eastAsiaTheme="minorEastAsia"/>
                <w:sz w:val="18"/>
                <w:szCs w:val="18"/>
              </w:rPr>
              <w:t>-7.1652</w:t>
            </w:r>
          </w:p>
        </w:tc>
        <w:tc>
          <w:tcPr>
            <w:tcW w:w="1569" w:type="dxa"/>
            <w:tcBorders>
              <w:top w:val="single" w:sz="4" w:space="0" w:color="000000" w:themeColor="text1"/>
              <w:bottom w:val="nil"/>
            </w:tcBorders>
            <w:shd w:val="clear" w:color="auto" w:fill="auto"/>
            <w:vAlign w:val="center"/>
            <w:hideMark/>
          </w:tcPr>
          <w:p w:rsidR="00A701F7" w:rsidRPr="00B87256" w:rsidRDefault="00A701F7" w:rsidP="005D2BBF">
            <w:pPr>
              <w:pStyle w:val="afa"/>
              <w:tabs>
                <w:tab w:val="decimal" w:pos="181"/>
              </w:tabs>
              <w:snapToGrid w:val="0"/>
              <w:rPr>
                <w:rFonts w:cs="Times New Roman"/>
                <w:spacing w:val="2"/>
                <w:sz w:val="18"/>
                <w:szCs w:val="18"/>
              </w:rPr>
            </w:pPr>
            <w:r w:rsidRPr="00B87256">
              <w:rPr>
                <w:rFonts w:cs="Times New Roman"/>
                <w:spacing w:val="2"/>
                <w:sz w:val="18"/>
                <w:szCs w:val="18"/>
              </w:rPr>
              <w:t>7.7796</w:t>
            </w:r>
          </w:p>
        </w:tc>
      </w:tr>
      <w:tr w:rsidR="00A701F7" w:rsidRPr="00B87256" w:rsidTr="00AC791B">
        <w:trPr>
          <w:trHeight w:val="255"/>
          <w:jc w:val="center"/>
        </w:trPr>
        <w:tc>
          <w:tcPr>
            <w:tcW w:w="1568" w:type="dxa"/>
            <w:tcBorders>
              <w:top w:val="nil"/>
            </w:tcBorders>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ln_</w:t>
            </w:r>
            <w:r w:rsidR="00AC791B" w:rsidRPr="00AC791B">
              <w:rPr>
                <w:rFonts w:eastAsiaTheme="minorEastAsia" w:cs="Times New Roman" w:hint="eastAsia"/>
                <w:i/>
                <w:spacing w:val="2"/>
                <w:sz w:val="18"/>
                <w:szCs w:val="18"/>
                <w:lang w:eastAsia="zh-CN"/>
              </w:rPr>
              <w:t>S</w:t>
            </w:r>
            <w:r w:rsidRPr="00AC791B">
              <w:rPr>
                <w:rFonts w:cs="Times New Roman"/>
                <w:i/>
                <w:spacing w:val="2"/>
                <w:sz w:val="18"/>
                <w:szCs w:val="18"/>
              </w:rPr>
              <w:t>ubsidiary</w:t>
            </w:r>
          </w:p>
        </w:tc>
        <w:tc>
          <w:tcPr>
            <w:tcW w:w="1569" w:type="dxa"/>
            <w:tcBorders>
              <w:top w:val="nil"/>
            </w:tcBorders>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50</w:t>
            </w:r>
          </w:p>
        </w:tc>
        <w:tc>
          <w:tcPr>
            <w:tcW w:w="1569" w:type="dxa"/>
            <w:tcBorders>
              <w:top w:val="nil"/>
            </w:tcBorders>
            <w:shd w:val="clear" w:color="auto" w:fill="auto"/>
            <w:vAlign w:val="center"/>
            <w:hideMark/>
          </w:tcPr>
          <w:p w:rsidR="00A701F7" w:rsidRPr="003C75E4" w:rsidRDefault="00A701F7" w:rsidP="001F0251">
            <w:pPr>
              <w:tabs>
                <w:tab w:val="decimal" w:pos="198"/>
              </w:tabs>
              <w:adjustRightInd w:val="0"/>
              <w:snapToGrid w:val="0"/>
              <w:ind w:firstLineChars="0" w:firstLine="0"/>
              <w:rPr>
                <w:rFonts w:eastAsiaTheme="minorEastAsia"/>
                <w:sz w:val="18"/>
                <w:szCs w:val="18"/>
              </w:rPr>
            </w:pPr>
            <w:r w:rsidRPr="003C75E4">
              <w:rPr>
                <w:rFonts w:eastAsiaTheme="minorEastAsia"/>
                <w:sz w:val="18"/>
                <w:szCs w:val="18"/>
              </w:rPr>
              <w:t>4.6147</w:t>
            </w:r>
          </w:p>
        </w:tc>
        <w:tc>
          <w:tcPr>
            <w:tcW w:w="1568" w:type="dxa"/>
            <w:tcBorders>
              <w:top w:val="nil"/>
            </w:tcBorders>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1.3311</w:t>
            </w:r>
          </w:p>
        </w:tc>
        <w:tc>
          <w:tcPr>
            <w:tcW w:w="1569" w:type="dxa"/>
            <w:tcBorders>
              <w:top w:val="nil"/>
            </w:tcBorders>
            <w:shd w:val="clear" w:color="auto" w:fill="auto"/>
            <w:vAlign w:val="center"/>
            <w:hideMark/>
          </w:tcPr>
          <w:p w:rsidR="00A701F7" w:rsidRPr="00AC791B" w:rsidRDefault="00A701F7" w:rsidP="001F0251">
            <w:pPr>
              <w:tabs>
                <w:tab w:val="decimal" w:pos="170"/>
              </w:tabs>
              <w:adjustRightInd w:val="0"/>
              <w:snapToGrid w:val="0"/>
              <w:ind w:firstLineChars="0" w:firstLine="0"/>
              <w:rPr>
                <w:rFonts w:eastAsiaTheme="minorEastAsia"/>
                <w:sz w:val="18"/>
                <w:szCs w:val="18"/>
              </w:rPr>
            </w:pPr>
            <w:r w:rsidRPr="00AC791B">
              <w:rPr>
                <w:rFonts w:eastAsiaTheme="minorEastAsia"/>
                <w:sz w:val="18"/>
                <w:szCs w:val="18"/>
              </w:rPr>
              <w:t>1.6094</w:t>
            </w:r>
          </w:p>
        </w:tc>
        <w:tc>
          <w:tcPr>
            <w:tcW w:w="1569" w:type="dxa"/>
            <w:tcBorders>
              <w:top w:val="nil"/>
            </w:tcBorders>
            <w:shd w:val="clear" w:color="auto" w:fill="auto"/>
            <w:vAlign w:val="center"/>
            <w:hideMark/>
          </w:tcPr>
          <w:p w:rsidR="00A701F7" w:rsidRPr="00B87256" w:rsidRDefault="00A701F7" w:rsidP="005D2BBF">
            <w:pPr>
              <w:pStyle w:val="afa"/>
              <w:tabs>
                <w:tab w:val="decimal" w:pos="181"/>
              </w:tabs>
              <w:snapToGrid w:val="0"/>
              <w:rPr>
                <w:rFonts w:cs="Times New Roman"/>
                <w:spacing w:val="2"/>
                <w:sz w:val="18"/>
                <w:szCs w:val="18"/>
              </w:rPr>
            </w:pPr>
            <w:r w:rsidRPr="00B87256">
              <w:rPr>
                <w:rFonts w:cs="Times New Roman"/>
                <w:spacing w:val="2"/>
                <w:sz w:val="18"/>
                <w:szCs w:val="18"/>
              </w:rPr>
              <w:t>6.9546</w:t>
            </w:r>
          </w:p>
        </w:tc>
      </w:tr>
      <w:tr w:rsidR="00A701F7" w:rsidRPr="00B87256" w:rsidTr="00AC791B">
        <w:trPr>
          <w:trHeight w:val="255"/>
          <w:jc w:val="center"/>
        </w:trPr>
        <w:tc>
          <w:tcPr>
            <w:tcW w:w="1568" w:type="dxa"/>
            <w:shd w:val="clear" w:color="auto" w:fill="auto"/>
            <w:vAlign w:val="center"/>
            <w:hideMark/>
          </w:tcPr>
          <w:p w:rsidR="00A701F7" w:rsidRPr="00AC791B" w:rsidRDefault="00A701F7" w:rsidP="001F0251">
            <w:pPr>
              <w:pStyle w:val="afa"/>
              <w:snapToGrid w:val="0"/>
              <w:rPr>
                <w:rFonts w:cs="Times New Roman"/>
                <w:i/>
                <w:spacing w:val="2"/>
                <w:sz w:val="18"/>
                <w:szCs w:val="18"/>
              </w:rPr>
            </w:pPr>
            <w:r w:rsidRPr="00AC791B">
              <w:rPr>
                <w:rFonts w:cs="Times New Roman" w:hint="eastAsia"/>
                <w:i/>
                <w:spacing w:val="2"/>
                <w:sz w:val="18"/>
                <w:szCs w:val="18"/>
              </w:rPr>
              <w:t>F</w:t>
            </w:r>
            <w:r w:rsidRPr="00AC791B">
              <w:rPr>
                <w:rFonts w:cs="Times New Roman"/>
                <w:i/>
                <w:spacing w:val="2"/>
                <w:sz w:val="18"/>
                <w:szCs w:val="18"/>
              </w:rPr>
              <w:t>oreignsales</w:t>
            </w:r>
          </w:p>
        </w:tc>
        <w:tc>
          <w:tcPr>
            <w:tcW w:w="1569"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50</w:t>
            </w:r>
          </w:p>
        </w:tc>
        <w:tc>
          <w:tcPr>
            <w:tcW w:w="1569" w:type="dxa"/>
            <w:shd w:val="clear" w:color="auto" w:fill="auto"/>
            <w:vAlign w:val="center"/>
            <w:hideMark/>
          </w:tcPr>
          <w:p w:rsidR="00A701F7" w:rsidRPr="003C75E4" w:rsidRDefault="00A701F7" w:rsidP="001F0251">
            <w:pPr>
              <w:tabs>
                <w:tab w:val="decimal" w:pos="198"/>
              </w:tabs>
              <w:adjustRightInd w:val="0"/>
              <w:snapToGrid w:val="0"/>
              <w:ind w:firstLineChars="0" w:firstLine="0"/>
              <w:rPr>
                <w:rFonts w:eastAsiaTheme="minorEastAsia"/>
                <w:sz w:val="18"/>
                <w:szCs w:val="18"/>
              </w:rPr>
            </w:pPr>
            <w:r w:rsidRPr="003C75E4">
              <w:rPr>
                <w:rFonts w:eastAsiaTheme="minorEastAsia"/>
                <w:sz w:val="18"/>
                <w:szCs w:val="18"/>
              </w:rPr>
              <w:t>0.4646</w:t>
            </w:r>
          </w:p>
        </w:tc>
        <w:tc>
          <w:tcPr>
            <w:tcW w:w="1568"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0.2740</w:t>
            </w:r>
          </w:p>
        </w:tc>
        <w:tc>
          <w:tcPr>
            <w:tcW w:w="1569" w:type="dxa"/>
            <w:shd w:val="clear" w:color="auto" w:fill="auto"/>
            <w:vAlign w:val="center"/>
            <w:hideMark/>
          </w:tcPr>
          <w:p w:rsidR="00A701F7" w:rsidRPr="00AC791B" w:rsidRDefault="00A701F7" w:rsidP="001F0251">
            <w:pPr>
              <w:tabs>
                <w:tab w:val="decimal" w:pos="170"/>
              </w:tabs>
              <w:adjustRightInd w:val="0"/>
              <w:snapToGrid w:val="0"/>
              <w:ind w:firstLineChars="0" w:firstLine="0"/>
              <w:rPr>
                <w:rFonts w:eastAsiaTheme="minorEastAsia"/>
                <w:sz w:val="18"/>
                <w:szCs w:val="18"/>
              </w:rPr>
            </w:pPr>
            <w:r w:rsidRPr="00AC791B">
              <w:rPr>
                <w:rFonts w:eastAsiaTheme="minorEastAsia"/>
                <w:sz w:val="18"/>
                <w:szCs w:val="18"/>
              </w:rPr>
              <w:t>0.0000</w:t>
            </w:r>
          </w:p>
        </w:tc>
        <w:tc>
          <w:tcPr>
            <w:tcW w:w="1569" w:type="dxa"/>
            <w:shd w:val="clear" w:color="auto" w:fill="auto"/>
            <w:vAlign w:val="center"/>
            <w:hideMark/>
          </w:tcPr>
          <w:p w:rsidR="00A701F7" w:rsidRPr="00B87256" w:rsidRDefault="00A701F7" w:rsidP="005D2BBF">
            <w:pPr>
              <w:pStyle w:val="afa"/>
              <w:tabs>
                <w:tab w:val="decimal" w:pos="181"/>
              </w:tabs>
              <w:snapToGrid w:val="0"/>
              <w:rPr>
                <w:rFonts w:cs="Times New Roman"/>
                <w:spacing w:val="2"/>
                <w:sz w:val="18"/>
                <w:szCs w:val="18"/>
              </w:rPr>
            </w:pPr>
            <w:r w:rsidRPr="00B87256">
              <w:rPr>
                <w:rFonts w:cs="Times New Roman"/>
                <w:spacing w:val="2"/>
                <w:sz w:val="18"/>
                <w:szCs w:val="18"/>
              </w:rPr>
              <w:t>0.8988</w:t>
            </w:r>
          </w:p>
        </w:tc>
      </w:tr>
      <w:tr w:rsidR="00A701F7" w:rsidRPr="00B87256" w:rsidTr="00AC791B">
        <w:trPr>
          <w:trHeight w:val="255"/>
          <w:jc w:val="center"/>
        </w:trPr>
        <w:tc>
          <w:tcPr>
            <w:tcW w:w="1568" w:type="dxa"/>
            <w:shd w:val="clear" w:color="auto" w:fill="auto"/>
            <w:vAlign w:val="center"/>
            <w:hideMark/>
          </w:tcPr>
          <w:p w:rsidR="00A701F7" w:rsidRPr="00AC791B" w:rsidRDefault="00A701F7" w:rsidP="001F0251">
            <w:pPr>
              <w:pStyle w:val="afa"/>
              <w:snapToGrid w:val="0"/>
              <w:rPr>
                <w:rFonts w:cs="Times New Roman"/>
                <w:i/>
                <w:spacing w:val="2"/>
                <w:sz w:val="18"/>
                <w:szCs w:val="18"/>
              </w:rPr>
            </w:pPr>
            <w:r w:rsidRPr="00AC791B">
              <w:rPr>
                <w:rFonts w:cs="Times New Roman" w:hint="eastAsia"/>
                <w:i/>
                <w:spacing w:val="2"/>
                <w:sz w:val="18"/>
                <w:szCs w:val="18"/>
              </w:rPr>
              <w:t>M</w:t>
            </w:r>
            <w:r w:rsidRPr="00AC791B">
              <w:rPr>
                <w:rFonts w:cs="Times New Roman"/>
                <w:i/>
                <w:spacing w:val="2"/>
                <w:sz w:val="18"/>
                <w:szCs w:val="18"/>
              </w:rPr>
              <w:t>anufact</w:t>
            </w:r>
          </w:p>
        </w:tc>
        <w:tc>
          <w:tcPr>
            <w:tcW w:w="1569"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50</w:t>
            </w:r>
          </w:p>
        </w:tc>
        <w:tc>
          <w:tcPr>
            <w:tcW w:w="1569" w:type="dxa"/>
            <w:shd w:val="clear" w:color="auto" w:fill="auto"/>
            <w:vAlign w:val="center"/>
            <w:hideMark/>
          </w:tcPr>
          <w:p w:rsidR="00A701F7" w:rsidRPr="003C75E4" w:rsidRDefault="00A701F7" w:rsidP="001F0251">
            <w:pPr>
              <w:tabs>
                <w:tab w:val="decimal" w:pos="198"/>
              </w:tabs>
              <w:adjustRightInd w:val="0"/>
              <w:snapToGrid w:val="0"/>
              <w:ind w:firstLineChars="0" w:firstLine="0"/>
              <w:rPr>
                <w:rFonts w:eastAsiaTheme="minorEastAsia"/>
                <w:sz w:val="18"/>
                <w:szCs w:val="18"/>
              </w:rPr>
            </w:pPr>
            <w:r w:rsidRPr="003C75E4">
              <w:rPr>
                <w:rFonts w:eastAsiaTheme="minorEastAsia"/>
                <w:sz w:val="18"/>
                <w:szCs w:val="18"/>
              </w:rPr>
              <w:t>0.7400</w:t>
            </w:r>
          </w:p>
        </w:tc>
        <w:tc>
          <w:tcPr>
            <w:tcW w:w="1568"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0.4431</w:t>
            </w:r>
          </w:p>
        </w:tc>
        <w:tc>
          <w:tcPr>
            <w:tcW w:w="1569" w:type="dxa"/>
            <w:shd w:val="clear" w:color="auto" w:fill="auto"/>
            <w:vAlign w:val="center"/>
            <w:hideMark/>
          </w:tcPr>
          <w:p w:rsidR="00A701F7" w:rsidRPr="00AC791B" w:rsidRDefault="00A701F7" w:rsidP="001F0251">
            <w:pPr>
              <w:tabs>
                <w:tab w:val="decimal" w:pos="170"/>
              </w:tabs>
              <w:adjustRightInd w:val="0"/>
              <w:snapToGrid w:val="0"/>
              <w:ind w:firstLineChars="0" w:firstLine="0"/>
              <w:rPr>
                <w:rFonts w:eastAsiaTheme="minorEastAsia"/>
                <w:sz w:val="18"/>
                <w:szCs w:val="18"/>
              </w:rPr>
            </w:pPr>
            <w:r w:rsidRPr="00AC791B">
              <w:rPr>
                <w:rFonts w:eastAsiaTheme="minorEastAsia"/>
                <w:sz w:val="18"/>
                <w:szCs w:val="18"/>
              </w:rPr>
              <w:t>0.0000</w:t>
            </w:r>
          </w:p>
        </w:tc>
        <w:tc>
          <w:tcPr>
            <w:tcW w:w="1569" w:type="dxa"/>
            <w:shd w:val="clear" w:color="auto" w:fill="auto"/>
            <w:vAlign w:val="center"/>
            <w:hideMark/>
          </w:tcPr>
          <w:p w:rsidR="00A701F7" w:rsidRPr="00B87256" w:rsidRDefault="00A701F7" w:rsidP="005D2BBF">
            <w:pPr>
              <w:pStyle w:val="afa"/>
              <w:tabs>
                <w:tab w:val="decimal" w:pos="181"/>
              </w:tabs>
              <w:snapToGrid w:val="0"/>
              <w:rPr>
                <w:rFonts w:cs="Times New Roman"/>
                <w:spacing w:val="2"/>
                <w:sz w:val="18"/>
                <w:szCs w:val="18"/>
              </w:rPr>
            </w:pPr>
            <w:r w:rsidRPr="00B87256">
              <w:rPr>
                <w:rFonts w:cs="Times New Roman"/>
                <w:spacing w:val="2"/>
                <w:sz w:val="18"/>
                <w:szCs w:val="18"/>
              </w:rPr>
              <w:t>1.0000</w:t>
            </w:r>
          </w:p>
        </w:tc>
      </w:tr>
      <w:tr w:rsidR="00A701F7" w:rsidRPr="00B87256" w:rsidTr="00AC791B">
        <w:trPr>
          <w:trHeight w:val="255"/>
          <w:jc w:val="center"/>
        </w:trPr>
        <w:tc>
          <w:tcPr>
            <w:tcW w:w="1568" w:type="dxa"/>
            <w:shd w:val="clear" w:color="auto" w:fill="auto"/>
            <w:vAlign w:val="center"/>
            <w:hideMark/>
          </w:tcPr>
          <w:p w:rsidR="00A701F7" w:rsidRPr="00AC791B" w:rsidRDefault="00A701F7" w:rsidP="001F0251">
            <w:pPr>
              <w:pStyle w:val="afa"/>
              <w:snapToGrid w:val="0"/>
              <w:rPr>
                <w:rFonts w:cs="Times New Roman"/>
                <w:i/>
                <w:spacing w:val="2"/>
                <w:sz w:val="18"/>
                <w:szCs w:val="18"/>
              </w:rPr>
            </w:pPr>
            <w:r w:rsidRPr="00AC791B">
              <w:rPr>
                <w:rFonts w:cs="Times New Roman" w:hint="eastAsia"/>
                <w:i/>
                <w:spacing w:val="2"/>
                <w:sz w:val="18"/>
                <w:szCs w:val="18"/>
              </w:rPr>
              <w:t>I</w:t>
            </w:r>
            <w:r w:rsidRPr="00AC791B">
              <w:rPr>
                <w:rFonts w:cs="Times New Roman"/>
                <w:i/>
                <w:spacing w:val="2"/>
                <w:sz w:val="18"/>
                <w:szCs w:val="18"/>
              </w:rPr>
              <w:t>ntangibles</w:t>
            </w:r>
          </w:p>
        </w:tc>
        <w:tc>
          <w:tcPr>
            <w:tcW w:w="1569"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50</w:t>
            </w:r>
          </w:p>
        </w:tc>
        <w:tc>
          <w:tcPr>
            <w:tcW w:w="1569" w:type="dxa"/>
            <w:shd w:val="clear" w:color="auto" w:fill="auto"/>
            <w:vAlign w:val="center"/>
            <w:hideMark/>
          </w:tcPr>
          <w:p w:rsidR="00A701F7" w:rsidRPr="003C75E4" w:rsidRDefault="00A701F7" w:rsidP="001F0251">
            <w:pPr>
              <w:tabs>
                <w:tab w:val="decimal" w:pos="198"/>
              </w:tabs>
              <w:adjustRightInd w:val="0"/>
              <w:snapToGrid w:val="0"/>
              <w:ind w:firstLineChars="0" w:firstLine="0"/>
              <w:rPr>
                <w:rFonts w:eastAsiaTheme="minorEastAsia"/>
                <w:sz w:val="18"/>
                <w:szCs w:val="18"/>
              </w:rPr>
            </w:pPr>
            <w:r w:rsidRPr="003C75E4">
              <w:rPr>
                <w:rFonts w:eastAsiaTheme="minorEastAsia"/>
                <w:sz w:val="18"/>
                <w:szCs w:val="18"/>
              </w:rPr>
              <w:t>0.0272</w:t>
            </w:r>
          </w:p>
        </w:tc>
        <w:tc>
          <w:tcPr>
            <w:tcW w:w="1568"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0.0486</w:t>
            </w:r>
          </w:p>
        </w:tc>
        <w:tc>
          <w:tcPr>
            <w:tcW w:w="1569" w:type="dxa"/>
            <w:shd w:val="clear" w:color="auto" w:fill="auto"/>
            <w:vAlign w:val="center"/>
            <w:hideMark/>
          </w:tcPr>
          <w:p w:rsidR="00A701F7" w:rsidRPr="00AC791B" w:rsidRDefault="00A701F7" w:rsidP="001F0251">
            <w:pPr>
              <w:tabs>
                <w:tab w:val="decimal" w:pos="170"/>
              </w:tabs>
              <w:adjustRightInd w:val="0"/>
              <w:snapToGrid w:val="0"/>
              <w:ind w:firstLineChars="0" w:firstLine="0"/>
              <w:rPr>
                <w:rFonts w:eastAsiaTheme="minorEastAsia"/>
                <w:sz w:val="18"/>
                <w:szCs w:val="18"/>
              </w:rPr>
            </w:pPr>
            <w:r w:rsidRPr="00AC791B">
              <w:rPr>
                <w:rFonts w:eastAsiaTheme="minorEastAsia"/>
                <w:sz w:val="18"/>
                <w:szCs w:val="18"/>
              </w:rPr>
              <w:t>0.0000</w:t>
            </w:r>
          </w:p>
        </w:tc>
        <w:tc>
          <w:tcPr>
            <w:tcW w:w="1569" w:type="dxa"/>
            <w:shd w:val="clear" w:color="auto" w:fill="auto"/>
            <w:vAlign w:val="center"/>
            <w:hideMark/>
          </w:tcPr>
          <w:p w:rsidR="00A701F7" w:rsidRPr="00B87256" w:rsidRDefault="00A701F7" w:rsidP="005D2BBF">
            <w:pPr>
              <w:pStyle w:val="afa"/>
              <w:tabs>
                <w:tab w:val="decimal" w:pos="181"/>
              </w:tabs>
              <w:snapToGrid w:val="0"/>
              <w:rPr>
                <w:rFonts w:cs="Times New Roman"/>
                <w:spacing w:val="2"/>
                <w:sz w:val="18"/>
                <w:szCs w:val="18"/>
              </w:rPr>
            </w:pPr>
            <w:r w:rsidRPr="00B87256">
              <w:rPr>
                <w:rFonts w:cs="Times New Roman"/>
                <w:spacing w:val="2"/>
                <w:sz w:val="18"/>
                <w:szCs w:val="18"/>
              </w:rPr>
              <w:t>0.3045</w:t>
            </w:r>
          </w:p>
        </w:tc>
      </w:tr>
      <w:tr w:rsidR="00A701F7" w:rsidRPr="00B87256" w:rsidTr="00AC791B">
        <w:trPr>
          <w:trHeight w:val="255"/>
          <w:jc w:val="center"/>
        </w:trPr>
        <w:tc>
          <w:tcPr>
            <w:tcW w:w="1568" w:type="dxa"/>
            <w:shd w:val="clear" w:color="auto" w:fill="auto"/>
            <w:vAlign w:val="center"/>
            <w:hideMark/>
          </w:tcPr>
          <w:p w:rsidR="00A701F7" w:rsidRPr="00AC791B" w:rsidRDefault="00A701F7" w:rsidP="001F0251">
            <w:pPr>
              <w:pStyle w:val="afa"/>
              <w:snapToGrid w:val="0"/>
              <w:rPr>
                <w:rFonts w:cs="Times New Roman"/>
                <w:i/>
                <w:spacing w:val="2"/>
                <w:sz w:val="18"/>
                <w:szCs w:val="18"/>
              </w:rPr>
            </w:pPr>
            <w:r w:rsidRPr="00AC791B">
              <w:rPr>
                <w:rFonts w:cs="Times New Roman" w:hint="eastAsia"/>
                <w:i/>
                <w:spacing w:val="2"/>
                <w:sz w:val="18"/>
                <w:szCs w:val="18"/>
              </w:rPr>
              <w:t>R</w:t>
            </w:r>
            <w:r w:rsidRPr="00AC791B">
              <w:rPr>
                <w:rFonts w:cs="Times New Roman"/>
                <w:i/>
                <w:spacing w:val="2"/>
                <w:sz w:val="18"/>
                <w:szCs w:val="18"/>
              </w:rPr>
              <w:t>d</w:t>
            </w:r>
          </w:p>
        </w:tc>
        <w:tc>
          <w:tcPr>
            <w:tcW w:w="1569"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50</w:t>
            </w:r>
          </w:p>
        </w:tc>
        <w:tc>
          <w:tcPr>
            <w:tcW w:w="1569" w:type="dxa"/>
            <w:shd w:val="clear" w:color="auto" w:fill="auto"/>
            <w:vAlign w:val="center"/>
            <w:hideMark/>
          </w:tcPr>
          <w:p w:rsidR="00A701F7" w:rsidRPr="003C75E4" w:rsidRDefault="00A701F7" w:rsidP="001F0251">
            <w:pPr>
              <w:tabs>
                <w:tab w:val="decimal" w:pos="198"/>
              </w:tabs>
              <w:adjustRightInd w:val="0"/>
              <w:snapToGrid w:val="0"/>
              <w:ind w:firstLineChars="0" w:firstLine="0"/>
              <w:rPr>
                <w:rFonts w:eastAsiaTheme="minorEastAsia"/>
                <w:sz w:val="18"/>
                <w:szCs w:val="18"/>
              </w:rPr>
            </w:pPr>
            <w:r w:rsidRPr="003C75E4">
              <w:rPr>
                <w:rFonts w:eastAsiaTheme="minorEastAsia"/>
                <w:sz w:val="18"/>
                <w:szCs w:val="18"/>
              </w:rPr>
              <w:t>0.0423</w:t>
            </w:r>
          </w:p>
        </w:tc>
        <w:tc>
          <w:tcPr>
            <w:tcW w:w="1568"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0.0459</w:t>
            </w:r>
          </w:p>
        </w:tc>
        <w:tc>
          <w:tcPr>
            <w:tcW w:w="1569" w:type="dxa"/>
            <w:shd w:val="clear" w:color="auto" w:fill="auto"/>
            <w:vAlign w:val="center"/>
            <w:hideMark/>
          </w:tcPr>
          <w:p w:rsidR="00A701F7" w:rsidRPr="00AC791B" w:rsidRDefault="00A701F7" w:rsidP="001F0251">
            <w:pPr>
              <w:tabs>
                <w:tab w:val="decimal" w:pos="170"/>
              </w:tabs>
              <w:adjustRightInd w:val="0"/>
              <w:snapToGrid w:val="0"/>
              <w:ind w:firstLineChars="0" w:firstLine="0"/>
              <w:rPr>
                <w:rFonts w:eastAsiaTheme="minorEastAsia"/>
                <w:sz w:val="18"/>
                <w:szCs w:val="18"/>
              </w:rPr>
            </w:pPr>
            <w:r w:rsidRPr="00AC791B">
              <w:rPr>
                <w:rFonts w:eastAsiaTheme="minorEastAsia"/>
                <w:sz w:val="18"/>
                <w:szCs w:val="18"/>
              </w:rPr>
              <w:t>0.0000</w:t>
            </w:r>
          </w:p>
        </w:tc>
        <w:tc>
          <w:tcPr>
            <w:tcW w:w="1569" w:type="dxa"/>
            <w:shd w:val="clear" w:color="auto" w:fill="auto"/>
            <w:vAlign w:val="center"/>
            <w:hideMark/>
          </w:tcPr>
          <w:p w:rsidR="00A701F7" w:rsidRPr="00B87256" w:rsidRDefault="00A701F7" w:rsidP="005D2BBF">
            <w:pPr>
              <w:pStyle w:val="afa"/>
              <w:tabs>
                <w:tab w:val="decimal" w:pos="181"/>
              </w:tabs>
              <w:snapToGrid w:val="0"/>
              <w:rPr>
                <w:rFonts w:cs="Times New Roman"/>
                <w:spacing w:val="2"/>
                <w:sz w:val="18"/>
                <w:szCs w:val="18"/>
              </w:rPr>
            </w:pPr>
            <w:r w:rsidRPr="00B87256">
              <w:rPr>
                <w:rFonts w:cs="Times New Roman"/>
                <w:spacing w:val="2"/>
                <w:sz w:val="18"/>
                <w:szCs w:val="18"/>
              </w:rPr>
              <w:t>0.2221</w:t>
            </w:r>
          </w:p>
        </w:tc>
      </w:tr>
      <w:tr w:rsidR="00A701F7" w:rsidRPr="00B87256" w:rsidTr="00AC791B">
        <w:trPr>
          <w:trHeight w:val="255"/>
          <w:jc w:val="center"/>
        </w:trPr>
        <w:tc>
          <w:tcPr>
            <w:tcW w:w="1568" w:type="dxa"/>
            <w:shd w:val="clear" w:color="auto" w:fill="auto"/>
            <w:vAlign w:val="center"/>
            <w:hideMark/>
          </w:tcPr>
          <w:p w:rsidR="00A701F7" w:rsidRPr="00AC791B" w:rsidRDefault="00A701F7" w:rsidP="001F0251">
            <w:pPr>
              <w:pStyle w:val="afa"/>
              <w:snapToGrid w:val="0"/>
              <w:rPr>
                <w:rFonts w:cs="Times New Roman"/>
                <w:i/>
                <w:spacing w:val="2"/>
                <w:sz w:val="18"/>
                <w:szCs w:val="18"/>
              </w:rPr>
            </w:pPr>
            <w:r w:rsidRPr="00AC791B">
              <w:rPr>
                <w:rFonts w:cs="Times New Roman" w:hint="eastAsia"/>
                <w:i/>
                <w:spacing w:val="2"/>
                <w:sz w:val="18"/>
                <w:szCs w:val="18"/>
              </w:rPr>
              <w:t>A</w:t>
            </w:r>
            <w:r w:rsidRPr="00AC791B">
              <w:rPr>
                <w:rFonts w:cs="Times New Roman"/>
                <w:i/>
                <w:spacing w:val="2"/>
                <w:sz w:val="18"/>
                <w:szCs w:val="18"/>
              </w:rPr>
              <w:t>dvertise</w:t>
            </w:r>
          </w:p>
        </w:tc>
        <w:tc>
          <w:tcPr>
            <w:tcW w:w="1569"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50</w:t>
            </w:r>
          </w:p>
        </w:tc>
        <w:tc>
          <w:tcPr>
            <w:tcW w:w="1569" w:type="dxa"/>
            <w:shd w:val="clear" w:color="auto" w:fill="auto"/>
            <w:vAlign w:val="center"/>
            <w:hideMark/>
          </w:tcPr>
          <w:p w:rsidR="00A701F7" w:rsidRPr="003C75E4" w:rsidRDefault="00A701F7" w:rsidP="001F0251">
            <w:pPr>
              <w:tabs>
                <w:tab w:val="decimal" w:pos="198"/>
              </w:tabs>
              <w:adjustRightInd w:val="0"/>
              <w:snapToGrid w:val="0"/>
              <w:ind w:firstLineChars="0" w:firstLine="0"/>
              <w:rPr>
                <w:rFonts w:eastAsiaTheme="minorEastAsia"/>
                <w:sz w:val="18"/>
                <w:szCs w:val="18"/>
              </w:rPr>
            </w:pPr>
            <w:r w:rsidRPr="003C75E4">
              <w:rPr>
                <w:rFonts w:eastAsiaTheme="minorEastAsia"/>
                <w:sz w:val="18"/>
                <w:szCs w:val="18"/>
              </w:rPr>
              <w:t>0.0152</w:t>
            </w:r>
          </w:p>
        </w:tc>
        <w:tc>
          <w:tcPr>
            <w:tcW w:w="1568"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0.0266</w:t>
            </w:r>
          </w:p>
        </w:tc>
        <w:tc>
          <w:tcPr>
            <w:tcW w:w="1569" w:type="dxa"/>
            <w:shd w:val="clear" w:color="auto" w:fill="auto"/>
            <w:vAlign w:val="center"/>
            <w:hideMark/>
          </w:tcPr>
          <w:p w:rsidR="00A701F7" w:rsidRPr="00AC791B" w:rsidRDefault="00A701F7" w:rsidP="001F0251">
            <w:pPr>
              <w:tabs>
                <w:tab w:val="decimal" w:pos="170"/>
              </w:tabs>
              <w:adjustRightInd w:val="0"/>
              <w:snapToGrid w:val="0"/>
              <w:ind w:firstLineChars="0" w:firstLine="0"/>
              <w:rPr>
                <w:rFonts w:eastAsiaTheme="minorEastAsia"/>
                <w:sz w:val="18"/>
                <w:szCs w:val="18"/>
              </w:rPr>
            </w:pPr>
            <w:r w:rsidRPr="00AC791B">
              <w:rPr>
                <w:rFonts w:eastAsiaTheme="minorEastAsia"/>
                <w:sz w:val="18"/>
                <w:szCs w:val="18"/>
              </w:rPr>
              <w:t>0.0000</w:t>
            </w:r>
          </w:p>
        </w:tc>
        <w:tc>
          <w:tcPr>
            <w:tcW w:w="1569" w:type="dxa"/>
            <w:shd w:val="clear" w:color="auto" w:fill="auto"/>
            <w:vAlign w:val="center"/>
            <w:hideMark/>
          </w:tcPr>
          <w:p w:rsidR="00A701F7" w:rsidRPr="00B87256" w:rsidRDefault="00A701F7" w:rsidP="005D2BBF">
            <w:pPr>
              <w:pStyle w:val="afa"/>
              <w:tabs>
                <w:tab w:val="decimal" w:pos="181"/>
              </w:tabs>
              <w:snapToGrid w:val="0"/>
              <w:rPr>
                <w:rFonts w:cs="Times New Roman"/>
                <w:spacing w:val="2"/>
                <w:sz w:val="18"/>
                <w:szCs w:val="18"/>
              </w:rPr>
            </w:pPr>
            <w:r w:rsidRPr="00B87256">
              <w:rPr>
                <w:rFonts w:cs="Times New Roman"/>
                <w:spacing w:val="2"/>
                <w:sz w:val="18"/>
                <w:szCs w:val="18"/>
              </w:rPr>
              <w:t>0.1043</w:t>
            </w:r>
          </w:p>
        </w:tc>
      </w:tr>
      <w:tr w:rsidR="00A701F7" w:rsidRPr="00B87256" w:rsidTr="00AC791B">
        <w:trPr>
          <w:trHeight w:val="255"/>
          <w:jc w:val="center"/>
        </w:trPr>
        <w:tc>
          <w:tcPr>
            <w:tcW w:w="1568" w:type="dxa"/>
            <w:shd w:val="clear" w:color="auto" w:fill="auto"/>
            <w:vAlign w:val="center"/>
            <w:hideMark/>
          </w:tcPr>
          <w:p w:rsidR="00A701F7" w:rsidRPr="00AC791B" w:rsidRDefault="00A701F7" w:rsidP="001F0251">
            <w:pPr>
              <w:pStyle w:val="afa"/>
              <w:snapToGrid w:val="0"/>
              <w:rPr>
                <w:rFonts w:cs="Times New Roman"/>
                <w:i/>
                <w:spacing w:val="2"/>
                <w:sz w:val="18"/>
                <w:szCs w:val="18"/>
              </w:rPr>
            </w:pPr>
            <w:r w:rsidRPr="00AC791B">
              <w:rPr>
                <w:rFonts w:cs="Times New Roman" w:hint="eastAsia"/>
                <w:i/>
                <w:spacing w:val="2"/>
                <w:sz w:val="18"/>
                <w:szCs w:val="18"/>
              </w:rPr>
              <w:t>H</w:t>
            </w:r>
            <w:r w:rsidRPr="00AC791B">
              <w:rPr>
                <w:rFonts w:cs="Times New Roman"/>
                <w:i/>
                <w:spacing w:val="2"/>
                <w:sz w:val="18"/>
                <w:szCs w:val="18"/>
              </w:rPr>
              <w:t>igh</w:t>
            </w:r>
            <w:r w:rsidR="00AC791B">
              <w:rPr>
                <w:rFonts w:eastAsiaTheme="minorEastAsia" w:cs="Times New Roman" w:hint="eastAsia"/>
                <w:i/>
                <w:spacing w:val="2"/>
                <w:sz w:val="18"/>
                <w:szCs w:val="18"/>
                <w:lang w:eastAsia="zh-CN"/>
              </w:rPr>
              <w:t xml:space="preserve"> </w:t>
            </w:r>
            <w:r w:rsidRPr="00AC791B">
              <w:rPr>
                <w:rFonts w:cs="Times New Roman"/>
                <w:i/>
                <w:spacing w:val="2"/>
                <w:sz w:val="18"/>
                <w:szCs w:val="18"/>
              </w:rPr>
              <w:t>rd</w:t>
            </w:r>
          </w:p>
        </w:tc>
        <w:tc>
          <w:tcPr>
            <w:tcW w:w="1569"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50</w:t>
            </w:r>
          </w:p>
        </w:tc>
        <w:tc>
          <w:tcPr>
            <w:tcW w:w="1569" w:type="dxa"/>
            <w:shd w:val="clear" w:color="auto" w:fill="auto"/>
            <w:vAlign w:val="center"/>
            <w:hideMark/>
          </w:tcPr>
          <w:p w:rsidR="00A701F7" w:rsidRPr="003C75E4" w:rsidRDefault="00A701F7" w:rsidP="001F0251">
            <w:pPr>
              <w:tabs>
                <w:tab w:val="decimal" w:pos="198"/>
              </w:tabs>
              <w:adjustRightInd w:val="0"/>
              <w:snapToGrid w:val="0"/>
              <w:ind w:firstLineChars="0" w:firstLine="0"/>
              <w:rPr>
                <w:rFonts w:eastAsiaTheme="minorEastAsia"/>
                <w:sz w:val="18"/>
                <w:szCs w:val="18"/>
              </w:rPr>
            </w:pPr>
            <w:r w:rsidRPr="003C75E4">
              <w:rPr>
                <w:rFonts w:eastAsiaTheme="minorEastAsia"/>
                <w:sz w:val="18"/>
                <w:szCs w:val="18"/>
              </w:rPr>
              <w:t>0.8600</w:t>
            </w:r>
          </w:p>
        </w:tc>
        <w:tc>
          <w:tcPr>
            <w:tcW w:w="1568"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0.3505</w:t>
            </w:r>
          </w:p>
        </w:tc>
        <w:tc>
          <w:tcPr>
            <w:tcW w:w="1569" w:type="dxa"/>
            <w:shd w:val="clear" w:color="auto" w:fill="auto"/>
            <w:vAlign w:val="center"/>
            <w:hideMark/>
          </w:tcPr>
          <w:p w:rsidR="00A701F7" w:rsidRPr="00AC791B" w:rsidRDefault="00A701F7" w:rsidP="001F0251">
            <w:pPr>
              <w:tabs>
                <w:tab w:val="decimal" w:pos="170"/>
              </w:tabs>
              <w:adjustRightInd w:val="0"/>
              <w:snapToGrid w:val="0"/>
              <w:ind w:firstLineChars="0" w:firstLine="0"/>
              <w:rPr>
                <w:rFonts w:eastAsiaTheme="minorEastAsia"/>
                <w:sz w:val="18"/>
                <w:szCs w:val="18"/>
              </w:rPr>
            </w:pPr>
            <w:r w:rsidRPr="00AC791B">
              <w:rPr>
                <w:rFonts w:eastAsiaTheme="minorEastAsia"/>
                <w:sz w:val="18"/>
                <w:szCs w:val="18"/>
              </w:rPr>
              <w:t>0.0000</w:t>
            </w:r>
          </w:p>
        </w:tc>
        <w:tc>
          <w:tcPr>
            <w:tcW w:w="1569" w:type="dxa"/>
            <w:shd w:val="clear" w:color="auto" w:fill="auto"/>
            <w:vAlign w:val="center"/>
            <w:hideMark/>
          </w:tcPr>
          <w:p w:rsidR="00A701F7" w:rsidRPr="00B87256" w:rsidRDefault="00A701F7" w:rsidP="005D2BBF">
            <w:pPr>
              <w:pStyle w:val="afa"/>
              <w:tabs>
                <w:tab w:val="decimal" w:pos="181"/>
              </w:tabs>
              <w:snapToGrid w:val="0"/>
              <w:rPr>
                <w:rFonts w:cs="Times New Roman"/>
                <w:spacing w:val="2"/>
                <w:sz w:val="18"/>
                <w:szCs w:val="18"/>
              </w:rPr>
            </w:pPr>
            <w:r w:rsidRPr="00B87256">
              <w:rPr>
                <w:rFonts w:cs="Times New Roman"/>
                <w:spacing w:val="2"/>
                <w:sz w:val="18"/>
                <w:szCs w:val="18"/>
              </w:rPr>
              <w:t>1.0000</w:t>
            </w:r>
          </w:p>
        </w:tc>
      </w:tr>
      <w:tr w:rsidR="00A701F7" w:rsidRPr="00B87256" w:rsidTr="00AC791B">
        <w:trPr>
          <w:trHeight w:val="255"/>
          <w:jc w:val="center"/>
        </w:trPr>
        <w:tc>
          <w:tcPr>
            <w:tcW w:w="1568" w:type="dxa"/>
            <w:shd w:val="clear" w:color="auto" w:fill="auto"/>
            <w:vAlign w:val="center"/>
            <w:hideMark/>
          </w:tcPr>
          <w:p w:rsidR="00A701F7" w:rsidRPr="00AC791B" w:rsidRDefault="00A701F7" w:rsidP="001F0251">
            <w:pPr>
              <w:pStyle w:val="afa"/>
              <w:snapToGrid w:val="0"/>
              <w:rPr>
                <w:rFonts w:cs="Times New Roman"/>
                <w:i/>
                <w:spacing w:val="2"/>
                <w:sz w:val="18"/>
                <w:szCs w:val="18"/>
              </w:rPr>
            </w:pPr>
            <w:r w:rsidRPr="00AC791B">
              <w:rPr>
                <w:rFonts w:cs="Times New Roman" w:hint="eastAsia"/>
                <w:i/>
                <w:spacing w:val="2"/>
                <w:sz w:val="18"/>
                <w:szCs w:val="18"/>
              </w:rPr>
              <w:t>H</w:t>
            </w:r>
            <w:r w:rsidRPr="00AC791B">
              <w:rPr>
                <w:rFonts w:cs="Times New Roman"/>
                <w:i/>
                <w:spacing w:val="2"/>
                <w:sz w:val="18"/>
                <w:szCs w:val="18"/>
              </w:rPr>
              <w:t>igh</w:t>
            </w:r>
            <w:r w:rsidR="00AC791B">
              <w:rPr>
                <w:rFonts w:eastAsiaTheme="minorEastAsia" w:cs="Times New Roman" w:hint="eastAsia"/>
                <w:i/>
                <w:spacing w:val="2"/>
                <w:sz w:val="18"/>
                <w:szCs w:val="18"/>
                <w:lang w:eastAsia="zh-CN"/>
              </w:rPr>
              <w:t xml:space="preserve"> </w:t>
            </w:r>
            <w:r w:rsidRPr="00AC791B">
              <w:rPr>
                <w:rFonts w:cs="Times New Roman"/>
                <w:i/>
                <w:spacing w:val="2"/>
                <w:sz w:val="18"/>
                <w:szCs w:val="18"/>
              </w:rPr>
              <w:t>advertise</w:t>
            </w:r>
          </w:p>
        </w:tc>
        <w:tc>
          <w:tcPr>
            <w:tcW w:w="1569"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50</w:t>
            </w:r>
          </w:p>
        </w:tc>
        <w:tc>
          <w:tcPr>
            <w:tcW w:w="1569" w:type="dxa"/>
            <w:shd w:val="clear" w:color="auto" w:fill="auto"/>
            <w:vAlign w:val="center"/>
            <w:hideMark/>
          </w:tcPr>
          <w:p w:rsidR="00A701F7" w:rsidRPr="003C75E4" w:rsidRDefault="00A701F7" w:rsidP="001F0251">
            <w:pPr>
              <w:tabs>
                <w:tab w:val="decimal" w:pos="198"/>
              </w:tabs>
              <w:adjustRightInd w:val="0"/>
              <w:snapToGrid w:val="0"/>
              <w:ind w:firstLineChars="0" w:firstLine="0"/>
              <w:rPr>
                <w:rFonts w:eastAsiaTheme="minorEastAsia"/>
                <w:sz w:val="18"/>
                <w:szCs w:val="18"/>
              </w:rPr>
            </w:pPr>
            <w:r w:rsidRPr="003C75E4">
              <w:rPr>
                <w:rFonts w:eastAsiaTheme="minorEastAsia"/>
                <w:sz w:val="18"/>
                <w:szCs w:val="18"/>
              </w:rPr>
              <w:t>0.5400</w:t>
            </w:r>
          </w:p>
        </w:tc>
        <w:tc>
          <w:tcPr>
            <w:tcW w:w="1568"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0.5035</w:t>
            </w:r>
          </w:p>
        </w:tc>
        <w:tc>
          <w:tcPr>
            <w:tcW w:w="1569" w:type="dxa"/>
            <w:shd w:val="clear" w:color="auto" w:fill="auto"/>
            <w:vAlign w:val="center"/>
            <w:hideMark/>
          </w:tcPr>
          <w:p w:rsidR="00A701F7" w:rsidRPr="00AC791B" w:rsidRDefault="00A701F7" w:rsidP="001F0251">
            <w:pPr>
              <w:tabs>
                <w:tab w:val="decimal" w:pos="170"/>
              </w:tabs>
              <w:adjustRightInd w:val="0"/>
              <w:snapToGrid w:val="0"/>
              <w:ind w:firstLineChars="0" w:firstLine="0"/>
              <w:rPr>
                <w:rFonts w:eastAsiaTheme="minorEastAsia"/>
                <w:sz w:val="18"/>
                <w:szCs w:val="18"/>
              </w:rPr>
            </w:pPr>
            <w:r w:rsidRPr="00AC791B">
              <w:rPr>
                <w:rFonts w:eastAsiaTheme="minorEastAsia"/>
                <w:sz w:val="18"/>
                <w:szCs w:val="18"/>
              </w:rPr>
              <w:t>0.0000</w:t>
            </w:r>
          </w:p>
        </w:tc>
        <w:tc>
          <w:tcPr>
            <w:tcW w:w="1569" w:type="dxa"/>
            <w:shd w:val="clear" w:color="auto" w:fill="auto"/>
            <w:vAlign w:val="center"/>
            <w:hideMark/>
          </w:tcPr>
          <w:p w:rsidR="00A701F7" w:rsidRPr="00B87256" w:rsidRDefault="00A701F7" w:rsidP="005D2BBF">
            <w:pPr>
              <w:pStyle w:val="afa"/>
              <w:tabs>
                <w:tab w:val="decimal" w:pos="181"/>
              </w:tabs>
              <w:snapToGrid w:val="0"/>
              <w:rPr>
                <w:rFonts w:cs="Times New Roman"/>
                <w:spacing w:val="2"/>
                <w:sz w:val="18"/>
                <w:szCs w:val="18"/>
              </w:rPr>
            </w:pPr>
            <w:r w:rsidRPr="00B87256">
              <w:rPr>
                <w:rFonts w:cs="Times New Roman"/>
                <w:spacing w:val="2"/>
                <w:sz w:val="18"/>
                <w:szCs w:val="18"/>
              </w:rPr>
              <w:t>1.0000</w:t>
            </w:r>
          </w:p>
        </w:tc>
      </w:tr>
      <w:tr w:rsidR="00A701F7" w:rsidRPr="00B87256" w:rsidTr="00AC791B">
        <w:trPr>
          <w:trHeight w:val="255"/>
          <w:jc w:val="center"/>
        </w:trPr>
        <w:tc>
          <w:tcPr>
            <w:tcW w:w="1568" w:type="dxa"/>
            <w:shd w:val="clear" w:color="auto" w:fill="auto"/>
            <w:vAlign w:val="center"/>
            <w:hideMark/>
          </w:tcPr>
          <w:p w:rsidR="00A701F7" w:rsidRPr="00AC791B" w:rsidRDefault="00A701F7" w:rsidP="001F0251">
            <w:pPr>
              <w:pStyle w:val="afa"/>
              <w:snapToGrid w:val="0"/>
              <w:rPr>
                <w:rFonts w:cs="Times New Roman"/>
                <w:i/>
                <w:spacing w:val="2"/>
                <w:sz w:val="18"/>
                <w:szCs w:val="18"/>
              </w:rPr>
            </w:pPr>
            <w:r w:rsidRPr="00AC791B">
              <w:rPr>
                <w:rFonts w:cs="Times New Roman" w:hint="eastAsia"/>
                <w:i/>
                <w:spacing w:val="2"/>
                <w:sz w:val="18"/>
                <w:szCs w:val="18"/>
              </w:rPr>
              <w:t>C</w:t>
            </w:r>
            <w:r w:rsidRPr="00AC791B">
              <w:rPr>
                <w:rFonts w:cs="Times New Roman"/>
                <w:i/>
                <w:spacing w:val="2"/>
                <w:sz w:val="18"/>
                <w:szCs w:val="18"/>
              </w:rPr>
              <w:t>ompensation</w:t>
            </w:r>
          </w:p>
        </w:tc>
        <w:tc>
          <w:tcPr>
            <w:tcW w:w="1569"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50</w:t>
            </w:r>
          </w:p>
        </w:tc>
        <w:tc>
          <w:tcPr>
            <w:tcW w:w="1569" w:type="dxa"/>
            <w:shd w:val="clear" w:color="auto" w:fill="auto"/>
            <w:vAlign w:val="center"/>
            <w:hideMark/>
          </w:tcPr>
          <w:p w:rsidR="00A701F7" w:rsidRPr="003C75E4" w:rsidRDefault="00A701F7" w:rsidP="001F0251">
            <w:pPr>
              <w:tabs>
                <w:tab w:val="decimal" w:pos="198"/>
              </w:tabs>
              <w:adjustRightInd w:val="0"/>
              <w:snapToGrid w:val="0"/>
              <w:ind w:firstLineChars="0" w:firstLine="0"/>
              <w:rPr>
                <w:rFonts w:eastAsiaTheme="minorEastAsia"/>
                <w:sz w:val="18"/>
                <w:szCs w:val="18"/>
              </w:rPr>
            </w:pPr>
            <w:r w:rsidRPr="003C75E4">
              <w:rPr>
                <w:rFonts w:eastAsiaTheme="minorEastAsia"/>
                <w:sz w:val="18"/>
                <w:szCs w:val="18"/>
              </w:rPr>
              <w:t>0.0004</w:t>
            </w:r>
          </w:p>
        </w:tc>
        <w:tc>
          <w:tcPr>
            <w:tcW w:w="1568"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0.0010</w:t>
            </w:r>
          </w:p>
        </w:tc>
        <w:tc>
          <w:tcPr>
            <w:tcW w:w="1569" w:type="dxa"/>
            <w:shd w:val="clear" w:color="auto" w:fill="auto"/>
            <w:vAlign w:val="center"/>
            <w:hideMark/>
          </w:tcPr>
          <w:p w:rsidR="00A701F7" w:rsidRPr="00AC791B" w:rsidRDefault="00A701F7" w:rsidP="001F0251">
            <w:pPr>
              <w:tabs>
                <w:tab w:val="decimal" w:pos="170"/>
              </w:tabs>
              <w:adjustRightInd w:val="0"/>
              <w:snapToGrid w:val="0"/>
              <w:ind w:firstLineChars="0" w:firstLine="0"/>
              <w:rPr>
                <w:rFonts w:eastAsiaTheme="minorEastAsia"/>
                <w:sz w:val="18"/>
                <w:szCs w:val="18"/>
              </w:rPr>
            </w:pPr>
            <w:r w:rsidRPr="00AC791B">
              <w:rPr>
                <w:rFonts w:eastAsiaTheme="minorEastAsia"/>
                <w:sz w:val="18"/>
                <w:szCs w:val="18"/>
              </w:rPr>
              <w:t>0.0000</w:t>
            </w:r>
          </w:p>
        </w:tc>
        <w:tc>
          <w:tcPr>
            <w:tcW w:w="1569" w:type="dxa"/>
            <w:shd w:val="clear" w:color="auto" w:fill="auto"/>
            <w:vAlign w:val="center"/>
            <w:hideMark/>
          </w:tcPr>
          <w:p w:rsidR="00A701F7" w:rsidRPr="00B87256" w:rsidRDefault="00A701F7" w:rsidP="005D2BBF">
            <w:pPr>
              <w:pStyle w:val="afa"/>
              <w:tabs>
                <w:tab w:val="decimal" w:pos="181"/>
              </w:tabs>
              <w:snapToGrid w:val="0"/>
              <w:rPr>
                <w:rFonts w:cs="Times New Roman"/>
                <w:spacing w:val="2"/>
                <w:sz w:val="18"/>
                <w:szCs w:val="18"/>
              </w:rPr>
            </w:pPr>
            <w:r w:rsidRPr="00B87256">
              <w:rPr>
                <w:rFonts w:cs="Times New Roman"/>
                <w:spacing w:val="2"/>
                <w:sz w:val="18"/>
                <w:szCs w:val="18"/>
              </w:rPr>
              <w:t>0.0061</w:t>
            </w:r>
          </w:p>
        </w:tc>
      </w:tr>
      <w:tr w:rsidR="00A701F7" w:rsidRPr="00B87256" w:rsidTr="00AC791B">
        <w:trPr>
          <w:trHeight w:val="255"/>
          <w:jc w:val="center"/>
        </w:trPr>
        <w:tc>
          <w:tcPr>
            <w:tcW w:w="1568" w:type="dxa"/>
            <w:shd w:val="clear" w:color="auto" w:fill="auto"/>
            <w:vAlign w:val="center"/>
            <w:hideMark/>
          </w:tcPr>
          <w:p w:rsidR="00A701F7" w:rsidRPr="00AC791B" w:rsidRDefault="00A701F7" w:rsidP="001F0251">
            <w:pPr>
              <w:pStyle w:val="afa"/>
              <w:snapToGrid w:val="0"/>
              <w:rPr>
                <w:rFonts w:cs="Times New Roman"/>
                <w:i/>
                <w:spacing w:val="2"/>
                <w:sz w:val="18"/>
                <w:szCs w:val="18"/>
              </w:rPr>
            </w:pPr>
            <w:r w:rsidRPr="00AC791B">
              <w:rPr>
                <w:rFonts w:cs="Times New Roman" w:hint="eastAsia"/>
                <w:i/>
                <w:spacing w:val="2"/>
                <w:sz w:val="18"/>
                <w:szCs w:val="18"/>
              </w:rPr>
              <w:t>L</w:t>
            </w:r>
            <w:r w:rsidRPr="00AC791B">
              <w:rPr>
                <w:rFonts w:cs="Times New Roman"/>
                <w:i/>
                <w:spacing w:val="2"/>
                <w:sz w:val="18"/>
                <w:szCs w:val="18"/>
              </w:rPr>
              <w:t>everage</w:t>
            </w:r>
          </w:p>
        </w:tc>
        <w:tc>
          <w:tcPr>
            <w:tcW w:w="1569"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50</w:t>
            </w:r>
          </w:p>
        </w:tc>
        <w:tc>
          <w:tcPr>
            <w:tcW w:w="1569" w:type="dxa"/>
            <w:shd w:val="clear" w:color="auto" w:fill="auto"/>
            <w:vAlign w:val="center"/>
            <w:hideMark/>
          </w:tcPr>
          <w:p w:rsidR="00A701F7" w:rsidRPr="003C75E4" w:rsidRDefault="00A701F7" w:rsidP="001F0251">
            <w:pPr>
              <w:tabs>
                <w:tab w:val="decimal" w:pos="198"/>
              </w:tabs>
              <w:adjustRightInd w:val="0"/>
              <w:snapToGrid w:val="0"/>
              <w:ind w:firstLineChars="0" w:firstLine="0"/>
              <w:rPr>
                <w:rFonts w:eastAsiaTheme="minorEastAsia"/>
                <w:sz w:val="18"/>
                <w:szCs w:val="18"/>
              </w:rPr>
            </w:pPr>
            <w:r w:rsidRPr="003C75E4">
              <w:rPr>
                <w:rFonts w:eastAsiaTheme="minorEastAsia"/>
                <w:sz w:val="18"/>
                <w:szCs w:val="18"/>
              </w:rPr>
              <w:t>0.6948</w:t>
            </w:r>
          </w:p>
        </w:tc>
        <w:tc>
          <w:tcPr>
            <w:tcW w:w="1568"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0.7985</w:t>
            </w:r>
          </w:p>
        </w:tc>
        <w:tc>
          <w:tcPr>
            <w:tcW w:w="1569" w:type="dxa"/>
            <w:shd w:val="clear" w:color="auto" w:fill="auto"/>
            <w:vAlign w:val="center"/>
            <w:hideMark/>
          </w:tcPr>
          <w:p w:rsidR="00A701F7" w:rsidRPr="00AC791B" w:rsidRDefault="00A701F7" w:rsidP="001F0251">
            <w:pPr>
              <w:tabs>
                <w:tab w:val="decimal" w:pos="170"/>
              </w:tabs>
              <w:adjustRightInd w:val="0"/>
              <w:snapToGrid w:val="0"/>
              <w:ind w:firstLineChars="0" w:firstLine="0"/>
              <w:rPr>
                <w:rFonts w:eastAsiaTheme="minorEastAsia"/>
                <w:sz w:val="18"/>
                <w:szCs w:val="18"/>
              </w:rPr>
            </w:pPr>
            <w:r w:rsidRPr="00AC791B">
              <w:rPr>
                <w:rFonts w:eastAsiaTheme="minorEastAsia"/>
                <w:sz w:val="18"/>
                <w:szCs w:val="18"/>
              </w:rPr>
              <w:t>0.0000</w:t>
            </w:r>
          </w:p>
        </w:tc>
        <w:tc>
          <w:tcPr>
            <w:tcW w:w="1569" w:type="dxa"/>
            <w:shd w:val="clear" w:color="auto" w:fill="auto"/>
            <w:vAlign w:val="center"/>
            <w:hideMark/>
          </w:tcPr>
          <w:p w:rsidR="00A701F7" w:rsidRPr="00B87256" w:rsidRDefault="00A701F7" w:rsidP="005D2BBF">
            <w:pPr>
              <w:pStyle w:val="afa"/>
              <w:tabs>
                <w:tab w:val="decimal" w:pos="181"/>
              </w:tabs>
              <w:snapToGrid w:val="0"/>
              <w:rPr>
                <w:rFonts w:cs="Times New Roman"/>
                <w:spacing w:val="2"/>
                <w:sz w:val="18"/>
                <w:szCs w:val="18"/>
              </w:rPr>
            </w:pPr>
            <w:r w:rsidRPr="00B87256">
              <w:rPr>
                <w:rFonts w:cs="Times New Roman"/>
                <w:spacing w:val="2"/>
                <w:sz w:val="18"/>
                <w:szCs w:val="18"/>
              </w:rPr>
              <w:t>3.3952</w:t>
            </w:r>
          </w:p>
        </w:tc>
      </w:tr>
      <w:tr w:rsidR="00A701F7" w:rsidRPr="00B87256" w:rsidTr="00AC791B">
        <w:trPr>
          <w:trHeight w:val="255"/>
          <w:jc w:val="center"/>
        </w:trPr>
        <w:tc>
          <w:tcPr>
            <w:tcW w:w="1568" w:type="dxa"/>
            <w:shd w:val="clear" w:color="auto" w:fill="auto"/>
            <w:vAlign w:val="center"/>
            <w:hideMark/>
          </w:tcPr>
          <w:p w:rsidR="00A701F7" w:rsidRPr="00AC791B" w:rsidRDefault="00A701F7" w:rsidP="001F0251">
            <w:pPr>
              <w:pStyle w:val="afa"/>
              <w:snapToGrid w:val="0"/>
              <w:rPr>
                <w:rFonts w:cs="Times New Roman"/>
                <w:i/>
                <w:spacing w:val="2"/>
                <w:sz w:val="18"/>
                <w:szCs w:val="18"/>
              </w:rPr>
            </w:pPr>
            <w:r w:rsidRPr="00AC791B">
              <w:rPr>
                <w:rFonts w:cs="Times New Roman" w:hint="eastAsia"/>
                <w:i/>
                <w:spacing w:val="2"/>
                <w:sz w:val="18"/>
                <w:szCs w:val="18"/>
              </w:rPr>
              <w:t>C</w:t>
            </w:r>
            <w:r w:rsidRPr="00AC791B">
              <w:rPr>
                <w:rFonts w:cs="Times New Roman"/>
                <w:i/>
                <w:spacing w:val="2"/>
                <w:sz w:val="18"/>
                <w:szCs w:val="18"/>
              </w:rPr>
              <w:t>urrent</w:t>
            </w:r>
            <w:r w:rsidRPr="00AC791B">
              <w:rPr>
                <w:rFonts w:cs="Times New Roman" w:hint="eastAsia"/>
                <w:spacing w:val="2"/>
                <w:sz w:val="18"/>
                <w:szCs w:val="18"/>
              </w:rPr>
              <w:t>_</w:t>
            </w:r>
            <w:r w:rsidRPr="00AC791B">
              <w:rPr>
                <w:rFonts w:cs="Times New Roman"/>
                <w:i/>
                <w:spacing w:val="2"/>
                <w:sz w:val="18"/>
                <w:szCs w:val="18"/>
              </w:rPr>
              <w:t>rate</w:t>
            </w:r>
          </w:p>
        </w:tc>
        <w:tc>
          <w:tcPr>
            <w:tcW w:w="1569"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50</w:t>
            </w:r>
          </w:p>
        </w:tc>
        <w:tc>
          <w:tcPr>
            <w:tcW w:w="1569" w:type="dxa"/>
            <w:shd w:val="clear" w:color="auto" w:fill="auto"/>
            <w:vAlign w:val="center"/>
            <w:hideMark/>
          </w:tcPr>
          <w:p w:rsidR="00A701F7" w:rsidRPr="003C75E4" w:rsidRDefault="00A701F7" w:rsidP="001F0251">
            <w:pPr>
              <w:tabs>
                <w:tab w:val="decimal" w:pos="198"/>
              </w:tabs>
              <w:adjustRightInd w:val="0"/>
              <w:snapToGrid w:val="0"/>
              <w:ind w:firstLineChars="0" w:firstLine="0"/>
              <w:rPr>
                <w:rFonts w:eastAsiaTheme="minorEastAsia"/>
                <w:sz w:val="18"/>
                <w:szCs w:val="18"/>
              </w:rPr>
            </w:pPr>
            <w:r w:rsidRPr="003C75E4">
              <w:rPr>
                <w:rFonts w:eastAsiaTheme="minorEastAsia"/>
                <w:sz w:val="18"/>
                <w:szCs w:val="18"/>
              </w:rPr>
              <w:t>1.6011</w:t>
            </w:r>
          </w:p>
        </w:tc>
        <w:tc>
          <w:tcPr>
            <w:tcW w:w="1568"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1.1105</w:t>
            </w:r>
          </w:p>
        </w:tc>
        <w:tc>
          <w:tcPr>
            <w:tcW w:w="1569" w:type="dxa"/>
            <w:shd w:val="clear" w:color="auto" w:fill="auto"/>
            <w:vAlign w:val="center"/>
            <w:hideMark/>
          </w:tcPr>
          <w:p w:rsidR="00A701F7" w:rsidRPr="00AC791B" w:rsidRDefault="00A701F7" w:rsidP="001F0251">
            <w:pPr>
              <w:tabs>
                <w:tab w:val="decimal" w:pos="170"/>
              </w:tabs>
              <w:adjustRightInd w:val="0"/>
              <w:snapToGrid w:val="0"/>
              <w:ind w:firstLineChars="0" w:firstLine="0"/>
              <w:rPr>
                <w:rFonts w:eastAsiaTheme="minorEastAsia"/>
                <w:sz w:val="18"/>
                <w:szCs w:val="18"/>
              </w:rPr>
            </w:pPr>
            <w:r w:rsidRPr="00AC791B">
              <w:rPr>
                <w:rFonts w:eastAsiaTheme="minorEastAsia"/>
                <w:sz w:val="18"/>
                <w:szCs w:val="18"/>
              </w:rPr>
              <w:t>0.3177</w:t>
            </w:r>
          </w:p>
        </w:tc>
        <w:tc>
          <w:tcPr>
            <w:tcW w:w="1569" w:type="dxa"/>
            <w:shd w:val="clear" w:color="auto" w:fill="auto"/>
            <w:vAlign w:val="center"/>
            <w:hideMark/>
          </w:tcPr>
          <w:p w:rsidR="00A701F7" w:rsidRPr="00B87256" w:rsidRDefault="00A701F7" w:rsidP="005D2BBF">
            <w:pPr>
              <w:pStyle w:val="afa"/>
              <w:tabs>
                <w:tab w:val="decimal" w:pos="181"/>
              </w:tabs>
              <w:snapToGrid w:val="0"/>
              <w:rPr>
                <w:rFonts w:cs="Times New Roman"/>
                <w:spacing w:val="2"/>
                <w:sz w:val="18"/>
                <w:szCs w:val="18"/>
              </w:rPr>
            </w:pPr>
            <w:r w:rsidRPr="00B87256">
              <w:rPr>
                <w:rFonts w:cs="Times New Roman"/>
                <w:spacing w:val="2"/>
                <w:sz w:val="18"/>
                <w:szCs w:val="18"/>
              </w:rPr>
              <w:t>4.7812</w:t>
            </w:r>
          </w:p>
        </w:tc>
      </w:tr>
      <w:tr w:rsidR="00A701F7" w:rsidRPr="00B87256" w:rsidTr="00AC791B">
        <w:trPr>
          <w:trHeight w:val="255"/>
          <w:jc w:val="center"/>
        </w:trPr>
        <w:tc>
          <w:tcPr>
            <w:tcW w:w="1568" w:type="dxa"/>
            <w:shd w:val="clear" w:color="auto" w:fill="auto"/>
            <w:vAlign w:val="center"/>
            <w:hideMark/>
          </w:tcPr>
          <w:p w:rsidR="00A701F7" w:rsidRPr="00AC791B" w:rsidRDefault="00A701F7" w:rsidP="001F0251">
            <w:pPr>
              <w:pStyle w:val="afa"/>
              <w:snapToGrid w:val="0"/>
              <w:rPr>
                <w:rFonts w:cs="Times New Roman"/>
                <w:i/>
                <w:spacing w:val="2"/>
                <w:sz w:val="18"/>
                <w:szCs w:val="18"/>
              </w:rPr>
            </w:pPr>
            <w:r w:rsidRPr="00AC791B">
              <w:rPr>
                <w:rFonts w:cs="Times New Roman" w:hint="eastAsia"/>
                <w:i/>
                <w:spacing w:val="2"/>
                <w:sz w:val="18"/>
                <w:szCs w:val="18"/>
              </w:rPr>
              <w:t>I</w:t>
            </w:r>
            <w:r w:rsidRPr="00AC791B">
              <w:rPr>
                <w:rFonts w:cs="Times New Roman"/>
                <w:i/>
                <w:spacing w:val="2"/>
                <w:sz w:val="18"/>
                <w:szCs w:val="18"/>
              </w:rPr>
              <w:t>nterestcoverage</w:t>
            </w:r>
          </w:p>
        </w:tc>
        <w:tc>
          <w:tcPr>
            <w:tcW w:w="1569"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50</w:t>
            </w:r>
          </w:p>
        </w:tc>
        <w:tc>
          <w:tcPr>
            <w:tcW w:w="1569" w:type="dxa"/>
            <w:shd w:val="clear" w:color="auto" w:fill="auto"/>
            <w:vAlign w:val="center"/>
            <w:hideMark/>
          </w:tcPr>
          <w:p w:rsidR="00A701F7" w:rsidRPr="003C75E4" w:rsidRDefault="00A701F7" w:rsidP="001F0251">
            <w:pPr>
              <w:tabs>
                <w:tab w:val="decimal" w:pos="198"/>
              </w:tabs>
              <w:adjustRightInd w:val="0"/>
              <w:snapToGrid w:val="0"/>
              <w:ind w:firstLineChars="0" w:firstLine="0"/>
              <w:rPr>
                <w:rFonts w:eastAsiaTheme="minorEastAsia"/>
                <w:sz w:val="18"/>
                <w:szCs w:val="18"/>
              </w:rPr>
            </w:pPr>
            <w:r w:rsidRPr="003C75E4">
              <w:rPr>
                <w:rFonts w:eastAsiaTheme="minorEastAsia"/>
                <w:sz w:val="18"/>
                <w:szCs w:val="18"/>
              </w:rPr>
              <w:t>1.1019</w:t>
            </w:r>
          </w:p>
        </w:tc>
        <w:tc>
          <w:tcPr>
            <w:tcW w:w="1568"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1.9588</w:t>
            </w:r>
          </w:p>
        </w:tc>
        <w:tc>
          <w:tcPr>
            <w:tcW w:w="1569" w:type="dxa"/>
            <w:shd w:val="clear" w:color="auto" w:fill="auto"/>
            <w:vAlign w:val="center"/>
            <w:hideMark/>
          </w:tcPr>
          <w:p w:rsidR="00A701F7" w:rsidRPr="00AC791B" w:rsidRDefault="00A701F7" w:rsidP="001F0251">
            <w:pPr>
              <w:tabs>
                <w:tab w:val="decimal" w:pos="170"/>
              </w:tabs>
              <w:adjustRightInd w:val="0"/>
              <w:snapToGrid w:val="0"/>
              <w:ind w:firstLineChars="0" w:firstLine="0"/>
              <w:rPr>
                <w:rFonts w:eastAsiaTheme="minorEastAsia"/>
                <w:sz w:val="18"/>
                <w:szCs w:val="18"/>
              </w:rPr>
            </w:pPr>
            <w:r w:rsidRPr="00AC791B">
              <w:rPr>
                <w:rFonts w:eastAsiaTheme="minorEastAsia"/>
                <w:sz w:val="18"/>
                <w:szCs w:val="18"/>
              </w:rPr>
              <w:t>0.0306</w:t>
            </w:r>
          </w:p>
        </w:tc>
        <w:tc>
          <w:tcPr>
            <w:tcW w:w="1569" w:type="dxa"/>
            <w:shd w:val="clear" w:color="auto" w:fill="auto"/>
            <w:vAlign w:val="center"/>
            <w:hideMark/>
          </w:tcPr>
          <w:p w:rsidR="00A701F7" w:rsidRPr="005D2BBF" w:rsidRDefault="00A701F7" w:rsidP="005D2BBF">
            <w:pPr>
              <w:pStyle w:val="afa"/>
              <w:tabs>
                <w:tab w:val="decimal" w:pos="181"/>
              </w:tabs>
              <w:snapToGrid w:val="0"/>
              <w:rPr>
                <w:rFonts w:cs="Times New Roman" w:hint="eastAsia"/>
                <w:spacing w:val="2"/>
                <w:sz w:val="18"/>
                <w:szCs w:val="18"/>
              </w:rPr>
            </w:pPr>
            <w:r w:rsidRPr="00B87256">
              <w:rPr>
                <w:rFonts w:cs="Times New Roman"/>
                <w:spacing w:val="2"/>
                <w:sz w:val="18"/>
                <w:szCs w:val="18"/>
              </w:rPr>
              <w:t>10.908</w:t>
            </w:r>
            <w:r w:rsidR="005D2BBF" w:rsidRPr="005D2BBF">
              <w:rPr>
                <w:rFonts w:cs="Times New Roman" w:hint="eastAsia"/>
                <w:spacing w:val="2"/>
                <w:sz w:val="18"/>
                <w:szCs w:val="18"/>
              </w:rPr>
              <w:t>0</w:t>
            </w:r>
          </w:p>
        </w:tc>
      </w:tr>
      <w:tr w:rsidR="00A701F7" w:rsidRPr="00B87256" w:rsidTr="00AC791B">
        <w:trPr>
          <w:trHeight w:val="255"/>
          <w:jc w:val="center"/>
        </w:trPr>
        <w:tc>
          <w:tcPr>
            <w:tcW w:w="1568" w:type="dxa"/>
            <w:shd w:val="clear" w:color="auto" w:fill="auto"/>
            <w:vAlign w:val="center"/>
            <w:hideMark/>
          </w:tcPr>
          <w:p w:rsidR="00A701F7" w:rsidRPr="00AC791B" w:rsidRDefault="00A701F7" w:rsidP="001F0251">
            <w:pPr>
              <w:pStyle w:val="afa"/>
              <w:snapToGrid w:val="0"/>
              <w:rPr>
                <w:rFonts w:cs="Times New Roman"/>
                <w:i/>
                <w:spacing w:val="2"/>
                <w:sz w:val="18"/>
                <w:szCs w:val="18"/>
              </w:rPr>
            </w:pPr>
            <w:r w:rsidRPr="00AC791B">
              <w:rPr>
                <w:rFonts w:cs="Times New Roman" w:hint="eastAsia"/>
                <w:i/>
                <w:spacing w:val="2"/>
                <w:sz w:val="18"/>
                <w:szCs w:val="18"/>
              </w:rPr>
              <w:t>L</w:t>
            </w:r>
            <w:r w:rsidRPr="00AC791B">
              <w:rPr>
                <w:rFonts w:cs="Times New Roman"/>
                <w:i/>
                <w:spacing w:val="2"/>
                <w:sz w:val="18"/>
                <w:szCs w:val="18"/>
              </w:rPr>
              <w:t>oss</w:t>
            </w:r>
            <w:r w:rsidRPr="00AC791B">
              <w:rPr>
                <w:rFonts w:cs="Times New Roman"/>
                <w:spacing w:val="2"/>
                <w:sz w:val="18"/>
                <w:szCs w:val="18"/>
              </w:rPr>
              <w:t>_</w:t>
            </w:r>
            <w:r w:rsidRPr="00AC791B">
              <w:rPr>
                <w:rFonts w:cs="Times New Roman"/>
                <w:i/>
                <w:spacing w:val="2"/>
                <w:sz w:val="18"/>
                <w:szCs w:val="18"/>
              </w:rPr>
              <w:t>dummy</w:t>
            </w:r>
          </w:p>
        </w:tc>
        <w:tc>
          <w:tcPr>
            <w:tcW w:w="1569"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50</w:t>
            </w:r>
          </w:p>
        </w:tc>
        <w:tc>
          <w:tcPr>
            <w:tcW w:w="1569" w:type="dxa"/>
            <w:shd w:val="clear" w:color="auto" w:fill="auto"/>
            <w:vAlign w:val="center"/>
            <w:hideMark/>
          </w:tcPr>
          <w:p w:rsidR="00A701F7" w:rsidRPr="003C75E4" w:rsidRDefault="00A701F7" w:rsidP="001F0251">
            <w:pPr>
              <w:tabs>
                <w:tab w:val="decimal" w:pos="198"/>
              </w:tabs>
              <w:adjustRightInd w:val="0"/>
              <w:snapToGrid w:val="0"/>
              <w:ind w:firstLineChars="0" w:firstLine="0"/>
              <w:rPr>
                <w:rFonts w:eastAsiaTheme="minorEastAsia"/>
                <w:sz w:val="18"/>
                <w:szCs w:val="18"/>
              </w:rPr>
            </w:pPr>
            <w:r w:rsidRPr="003C75E4">
              <w:rPr>
                <w:rFonts w:eastAsiaTheme="minorEastAsia"/>
                <w:sz w:val="18"/>
                <w:szCs w:val="18"/>
              </w:rPr>
              <w:t>0.0400</w:t>
            </w:r>
          </w:p>
        </w:tc>
        <w:tc>
          <w:tcPr>
            <w:tcW w:w="1568"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0.1979</w:t>
            </w:r>
          </w:p>
        </w:tc>
        <w:tc>
          <w:tcPr>
            <w:tcW w:w="1569" w:type="dxa"/>
            <w:shd w:val="clear" w:color="auto" w:fill="auto"/>
            <w:vAlign w:val="center"/>
            <w:hideMark/>
          </w:tcPr>
          <w:p w:rsidR="00A701F7" w:rsidRPr="00AC791B" w:rsidRDefault="00A701F7" w:rsidP="001F0251">
            <w:pPr>
              <w:tabs>
                <w:tab w:val="decimal" w:pos="170"/>
              </w:tabs>
              <w:adjustRightInd w:val="0"/>
              <w:snapToGrid w:val="0"/>
              <w:ind w:firstLineChars="0" w:firstLine="0"/>
              <w:rPr>
                <w:rFonts w:eastAsiaTheme="minorEastAsia"/>
                <w:sz w:val="18"/>
                <w:szCs w:val="18"/>
                <w:lang w:eastAsia="zh-CN"/>
              </w:rPr>
            </w:pPr>
            <w:r w:rsidRPr="00AC791B">
              <w:rPr>
                <w:rFonts w:eastAsiaTheme="minorEastAsia"/>
                <w:sz w:val="18"/>
                <w:szCs w:val="18"/>
              </w:rPr>
              <w:t>0.0000</w:t>
            </w:r>
          </w:p>
        </w:tc>
        <w:tc>
          <w:tcPr>
            <w:tcW w:w="1569" w:type="dxa"/>
            <w:shd w:val="clear" w:color="auto" w:fill="auto"/>
            <w:vAlign w:val="center"/>
            <w:hideMark/>
          </w:tcPr>
          <w:p w:rsidR="00A701F7" w:rsidRPr="00B87256" w:rsidRDefault="00A701F7" w:rsidP="005D2BBF">
            <w:pPr>
              <w:pStyle w:val="afa"/>
              <w:tabs>
                <w:tab w:val="decimal" w:pos="181"/>
              </w:tabs>
              <w:snapToGrid w:val="0"/>
              <w:rPr>
                <w:rFonts w:cs="Times New Roman"/>
                <w:spacing w:val="2"/>
                <w:sz w:val="18"/>
                <w:szCs w:val="18"/>
              </w:rPr>
            </w:pPr>
            <w:r w:rsidRPr="00B87256">
              <w:rPr>
                <w:rFonts w:cs="Times New Roman"/>
                <w:spacing w:val="2"/>
                <w:sz w:val="18"/>
                <w:szCs w:val="18"/>
              </w:rPr>
              <w:t>1.0000</w:t>
            </w:r>
          </w:p>
        </w:tc>
      </w:tr>
      <w:tr w:rsidR="00A701F7" w:rsidRPr="00B87256" w:rsidTr="00AC791B">
        <w:trPr>
          <w:trHeight w:val="255"/>
          <w:jc w:val="center"/>
        </w:trPr>
        <w:tc>
          <w:tcPr>
            <w:tcW w:w="1568" w:type="dxa"/>
            <w:shd w:val="clear" w:color="auto" w:fill="auto"/>
            <w:vAlign w:val="center"/>
            <w:hideMark/>
          </w:tcPr>
          <w:p w:rsidR="00A701F7" w:rsidRPr="00AC791B" w:rsidRDefault="00A701F7" w:rsidP="001F0251">
            <w:pPr>
              <w:pStyle w:val="afa"/>
              <w:snapToGrid w:val="0"/>
              <w:rPr>
                <w:rFonts w:cs="Times New Roman"/>
                <w:i/>
                <w:spacing w:val="2"/>
                <w:sz w:val="18"/>
                <w:szCs w:val="18"/>
              </w:rPr>
            </w:pPr>
            <w:r w:rsidRPr="00AC791B">
              <w:rPr>
                <w:rFonts w:cs="Times New Roman" w:hint="eastAsia"/>
                <w:i/>
                <w:spacing w:val="2"/>
                <w:sz w:val="18"/>
                <w:szCs w:val="18"/>
              </w:rPr>
              <w:t>ETR</w:t>
            </w:r>
          </w:p>
        </w:tc>
        <w:tc>
          <w:tcPr>
            <w:tcW w:w="1569"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50</w:t>
            </w:r>
          </w:p>
        </w:tc>
        <w:tc>
          <w:tcPr>
            <w:tcW w:w="1569" w:type="dxa"/>
            <w:shd w:val="clear" w:color="auto" w:fill="auto"/>
            <w:vAlign w:val="center"/>
            <w:hideMark/>
          </w:tcPr>
          <w:p w:rsidR="00A701F7" w:rsidRPr="003C75E4" w:rsidRDefault="00A701F7" w:rsidP="001F0251">
            <w:pPr>
              <w:tabs>
                <w:tab w:val="decimal" w:pos="198"/>
              </w:tabs>
              <w:adjustRightInd w:val="0"/>
              <w:snapToGrid w:val="0"/>
              <w:ind w:firstLineChars="0" w:firstLine="0"/>
              <w:rPr>
                <w:rFonts w:eastAsiaTheme="minorEastAsia"/>
                <w:sz w:val="18"/>
                <w:szCs w:val="18"/>
              </w:rPr>
            </w:pPr>
            <w:r w:rsidRPr="003C75E4">
              <w:rPr>
                <w:rFonts w:eastAsiaTheme="minorEastAsia"/>
                <w:sz w:val="18"/>
                <w:szCs w:val="18"/>
              </w:rPr>
              <w:t>0.3825</w:t>
            </w:r>
          </w:p>
        </w:tc>
        <w:tc>
          <w:tcPr>
            <w:tcW w:w="1568"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0.1190</w:t>
            </w:r>
          </w:p>
        </w:tc>
        <w:tc>
          <w:tcPr>
            <w:tcW w:w="1569" w:type="dxa"/>
            <w:shd w:val="clear" w:color="auto" w:fill="auto"/>
            <w:vAlign w:val="center"/>
            <w:hideMark/>
          </w:tcPr>
          <w:p w:rsidR="00A701F7" w:rsidRPr="00AC791B" w:rsidRDefault="00A701F7" w:rsidP="001F0251">
            <w:pPr>
              <w:tabs>
                <w:tab w:val="decimal" w:pos="170"/>
              </w:tabs>
              <w:adjustRightInd w:val="0"/>
              <w:snapToGrid w:val="0"/>
              <w:ind w:firstLineChars="0" w:firstLine="0"/>
              <w:rPr>
                <w:rFonts w:eastAsiaTheme="minorEastAsia"/>
                <w:sz w:val="18"/>
                <w:szCs w:val="18"/>
              </w:rPr>
            </w:pPr>
            <w:r w:rsidRPr="00AC791B">
              <w:rPr>
                <w:rFonts w:eastAsiaTheme="minorEastAsia"/>
                <w:sz w:val="18"/>
                <w:szCs w:val="18"/>
              </w:rPr>
              <w:t>0.0000</w:t>
            </w:r>
          </w:p>
        </w:tc>
        <w:tc>
          <w:tcPr>
            <w:tcW w:w="1569" w:type="dxa"/>
            <w:shd w:val="clear" w:color="auto" w:fill="auto"/>
            <w:vAlign w:val="center"/>
            <w:hideMark/>
          </w:tcPr>
          <w:p w:rsidR="00A701F7" w:rsidRPr="00B87256" w:rsidRDefault="00A701F7" w:rsidP="005D2BBF">
            <w:pPr>
              <w:pStyle w:val="afa"/>
              <w:tabs>
                <w:tab w:val="decimal" w:pos="181"/>
              </w:tabs>
              <w:snapToGrid w:val="0"/>
              <w:rPr>
                <w:rFonts w:cs="Times New Roman"/>
                <w:spacing w:val="2"/>
                <w:sz w:val="18"/>
                <w:szCs w:val="18"/>
              </w:rPr>
            </w:pPr>
            <w:r w:rsidRPr="00B87256">
              <w:rPr>
                <w:rFonts w:cs="Times New Roman"/>
                <w:spacing w:val="2"/>
                <w:sz w:val="18"/>
                <w:szCs w:val="18"/>
              </w:rPr>
              <w:t>0.6022</w:t>
            </w:r>
          </w:p>
        </w:tc>
      </w:tr>
      <w:tr w:rsidR="00A701F7" w:rsidRPr="00B87256" w:rsidTr="00AC791B">
        <w:trPr>
          <w:trHeight w:val="255"/>
          <w:jc w:val="center"/>
        </w:trPr>
        <w:tc>
          <w:tcPr>
            <w:tcW w:w="1568" w:type="dxa"/>
            <w:shd w:val="clear" w:color="auto" w:fill="auto"/>
            <w:vAlign w:val="center"/>
            <w:hideMark/>
          </w:tcPr>
          <w:p w:rsidR="00A701F7" w:rsidRPr="00AC791B" w:rsidRDefault="00A701F7" w:rsidP="001F0251">
            <w:pPr>
              <w:pStyle w:val="afa"/>
              <w:snapToGrid w:val="0"/>
              <w:rPr>
                <w:rFonts w:cs="Times New Roman"/>
                <w:i/>
                <w:spacing w:val="2"/>
                <w:sz w:val="18"/>
                <w:szCs w:val="18"/>
              </w:rPr>
            </w:pPr>
            <w:r w:rsidRPr="00AC791B">
              <w:rPr>
                <w:rFonts w:cs="Times New Roman" w:hint="eastAsia"/>
                <w:i/>
                <w:spacing w:val="2"/>
                <w:sz w:val="18"/>
                <w:szCs w:val="18"/>
              </w:rPr>
              <w:t>Cash</w:t>
            </w:r>
            <w:r w:rsidRPr="00AC791B">
              <w:rPr>
                <w:rFonts w:cs="Times New Roman" w:hint="eastAsia"/>
                <w:spacing w:val="2"/>
                <w:sz w:val="18"/>
                <w:szCs w:val="18"/>
              </w:rPr>
              <w:t>_</w:t>
            </w:r>
            <w:r w:rsidRPr="00AC791B">
              <w:rPr>
                <w:rFonts w:cs="Times New Roman" w:hint="eastAsia"/>
                <w:i/>
                <w:spacing w:val="2"/>
                <w:sz w:val="18"/>
                <w:szCs w:val="18"/>
              </w:rPr>
              <w:t>ETR</w:t>
            </w:r>
          </w:p>
        </w:tc>
        <w:tc>
          <w:tcPr>
            <w:tcW w:w="1569"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50</w:t>
            </w:r>
          </w:p>
        </w:tc>
        <w:tc>
          <w:tcPr>
            <w:tcW w:w="1569" w:type="dxa"/>
            <w:shd w:val="clear" w:color="auto" w:fill="auto"/>
            <w:vAlign w:val="center"/>
            <w:hideMark/>
          </w:tcPr>
          <w:p w:rsidR="00A701F7" w:rsidRPr="003C75E4" w:rsidRDefault="00A701F7" w:rsidP="001F0251">
            <w:pPr>
              <w:tabs>
                <w:tab w:val="decimal" w:pos="198"/>
              </w:tabs>
              <w:adjustRightInd w:val="0"/>
              <w:snapToGrid w:val="0"/>
              <w:ind w:firstLineChars="0" w:firstLine="0"/>
              <w:rPr>
                <w:rFonts w:eastAsiaTheme="minorEastAsia"/>
                <w:sz w:val="18"/>
                <w:szCs w:val="18"/>
              </w:rPr>
            </w:pPr>
            <w:r w:rsidRPr="003C75E4">
              <w:rPr>
                <w:rFonts w:eastAsiaTheme="minorEastAsia"/>
                <w:sz w:val="18"/>
                <w:szCs w:val="18"/>
              </w:rPr>
              <w:t>0.3543</w:t>
            </w:r>
          </w:p>
        </w:tc>
        <w:tc>
          <w:tcPr>
            <w:tcW w:w="1568"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0.1498</w:t>
            </w:r>
          </w:p>
        </w:tc>
        <w:tc>
          <w:tcPr>
            <w:tcW w:w="1569" w:type="dxa"/>
            <w:shd w:val="clear" w:color="auto" w:fill="auto"/>
            <w:vAlign w:val="center"/>
            <w:hideMark/>
          </w:tcPr>
          <w:p w:rsidR="00A701F7" w:rsidRPr="00AC791B" w:rsidRDefault="00A701F7" w:rsidP="001F0251">
            <w:pPr>
              <w:tabs>
                <w:tab w:val="decimal" w:pos="170"/>
              </w:tabs>
              <w:adjustRightInd w:val="0"/>
              <w:snapToGrid w:val="0"/>
              <w:ind w:firstLineChars="0" w:firstLine="0"/>
              <w:rPr>
                <w:rFonts w:eastAsiaTheme="minorEastAsia"/>
                <w:sz w:val="18"/>
                <w:szCs w:val="18"/>
              </w:rPr>
            </w:pPr>
            <w:r w:rsidRPr="00AC791B">
              <w:rPr>
                <w:rFonts w:eastAsiaTheme="minorEastAsia"/>
                <w:sz w:val="18"/>
                <w:szCs w:val="18"/>
              </w:rPr>
              <w:t>0.0000</w:t>
            </w:r>
          </w:p>
        </w:tc>
        <w:tc>
          <w:tcPr>
            <w:tcW w:w="1569" w:type="dxa"/>
            <w:shd w:val="clear" w:color="auto" w:fill="auto"/>
            <w:vAlign w:val="center"/>
            <w:hideMark/>
          </w:tcPr>
          <w:p w:rsidR="00A701F7" w:rsidRPr="00B87256" w:rsidRDefault="00A701F7" w:rsidP="005D2BBF">
            <w:pPr>
              <w:pStyle w:val="afa"/>
              <w:tabs>
                <w:tab w:val="decimal" w:pos="181"/>
              </w:tabs>
              <w:snapToGrid w:val="0"/>
              <w:rPr>
                <w:rFonts w:cs="Times New Roman"/>
                <w:spacing w:val="2"/>
                <w:sz w:val="18"/>
                <w:szCs w:val="18"/>
              </w:rPr>
            </w:pPr>
            <w:r w:rsidRPr="00B87256">
              <w:rPr>
                <w:rFonts w:cs="Times New Roman"/>
                <w:spacing w:val="2"/>
                <w:sz w:val="18"/>
                <w:szCs w:val="18"/>
              </w:rPr>
              <w:t>0.6960</w:t>
            </w:r>
          </w:p>
        </w:tc>
      </w:tr>
      <w:tr w:rsidR="00A701F7" w:rsidRPr="00B87256" w:rsidTr="00AC791B">
        <w:trPr>
          <w:trHeight w:val="255"/>
          <w:jc w:val="center"/>
        </w:trPr>
        <w:tc>
          <w:tcPr>
            <w:tcW w:w="1568" w:type="dxa"/>
            <w:shd w:val="clear" w:color="auto" w:fill="auto"/>
            <w:vAlign w:val="center"/>
            <w:hideMark/>
          </w:tcPr>
          <w:p w:rsidR="00A701F7" w:rsidRPr="00AC791B" w:rsidRDefault="00A701F7" w:rsidP="001F0251">
            <w:pPr>
              <w:pStyle w:val="afa"/>
              <w:snapToGrid w:val="0"/>
              <w:rPr>
                <w:rFonts w:cs="Times New Roman"/>
                <w:i/>
                <w:spacing w:val="2"/>
                <w:sz w:val="18"/>
                <w:szCs w:val="18"/>
              </w:rPr>
            </w:pPr>
            <w:r w:rsidRPr="00AC791B">
              <w:rPr>
                <w:rFonts w:cs="Times New Roman" w:hint="eastAsia"/>
                <w:i/>
                <w:spacing w:val="2"/>
                <w:sz w:val="18"/>
                <w:szCs w:val="18"/>
              </w:rPr>
              <w:t>S</w:t>
            </w:r>
            <w:r w:rsidRPr="00AC791B">
              <w:rPr>
                <w:rFonts w:cs="Times New Roman"/>
                <w:i/>
                <w:spacing w:val="2"/>
                <w:sz w:val="18"/>
                <w:szCs w:val="18"/>
              </w:rPr>
              <w:t>ize</w:t>
            </w:r>
          </w:p>
        </w:tc>
        <w:tc>
          <w:tcPr>
            <w:tcW w:w="1569"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50</w:t>
            </w:r>
          </w:p>
        </w:tc>
        <w:tc>
          <w:tcPr>
            <w:tcW w:w="1569" w:type="dxa"/>
            <w:shd w:val="clear" w:color="auto" w:fill="auto"/>
            <w:vAlign w:val="center"/>
            <w:hideMark/>
          </w:tcPr>
          <w:p w:rsidR="00A701F7" w:rsidRPr="003C75E4" w:rsidRDefault="00A701F7" w:rsidP="001F0251">
            <w:pPr>
              <w:tabs>
                <w:tab w:val="decimal" w:pos="198"/>
              </w:tabs>
              <w:adjustRightInd w:val="0"/>
              <w:snapToGrid w:val="0"/>
              <w:ind w:firstLineChars="0" w:firstLine="0"/>
              <w:rPr>
                <w:rFonts w:eastAsiaTheme="minorEastAsia"/>
                <w:sz w:val="18"/>
                <w:szCs w:val="18"/>
              </w:rPr>
            </w:pPr>
            <w:r w:rsidRPr="003C75E4">
              <w:rPr>
                <w:rFonts w:eastAsiaTheme="minorEastAsia"/>
                <w:sz w:val="18"/>
                <w:szCs w:val="18"/>
              </w:rPr>
              <w:t>14.1314</w:t>
            </w:r>
          </w:p>
        </w:tc>
        <w:tc>
          <w:tcPr>
            <w:tcW w:w="1568"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1.7242</w:t>
            </w:r>
          </w:p>
        </w:tc>
        <w:tc>
          <w:tcPr>
            <w:tcW w:w="1569" w:type="dxa"/>
            <w:shd w:val="clear" w:color="auto" w:fill="auto"/>
            <w:vAlign w:val="center"/>
            <w:hideMark/>
          </w:tcPr>
          <w:p w:rsidR="00A701F7" w:rsidRPr="00AC791B" w:rsidRDefault="00A701F7" w:rsidP="001F0251">
            <w:pPr>
              <w:tabs>
                <w:tab w:val="decimal" w:pos="170"/>
              </w:tabs>
              <w:adjustRightInd w:val="0"/>
              <w:snapToGrid w:val="0"/>
              <w:ind w:firstLineChars="0" w:firstLine="0"/>
              <w:rPr>
                <w:rFonts w:eastAsiaTheme="minorEastAsia"/>
                <w:sz w:val="18"/>
                <w:szCs w:val="18"/>
              </w:rPr>
            </w:pPr>
            <w:r w:rsidRPr="00AC791B">
              <w:rPr>
                <w:rFonts w:eastAsiaTheme="minorEastAsia"/>
                <w:sz w:val="18"/>
                <w:szCs w:val="18"/>
              </w:rPr>
              <w:t>9.2823</w:t>
            </w:r>
          </w:p>
        </w:tc>
        <w:tc>
          <w:tcPr>
            <w:tcW w:w="1569" w:type="dxa"/>
            <w:shd w:val="clear" w:color="auto" w:fill="auto"/>
            <w:vAlign w:val="center"/>
            <w:hideMark/>
          </w:tcPr>
          <w:p w:rsidR="00A701F7" w:rsidRPr="00B87256" w:rsidRDefault="00A701F7" w:rsidP="005D2BBF">
            <w:pPr>
              <w:pStyle w:val="afa"/>
              <w:tabs>
                <w:tab w:val="decimal" w:pos="181"/>
              </w:tabs>
              <w:snapToGrid w:val="0"/>
              <w:rPr>
                <w:rFonts w:cs="Times New Roman"/>
                <w:spacing w:val="2"/>
                <w:sz w:val="18"/>
                <w:szCs w:val="18"/>
              </w:rPr>
            </w:pPr>
            <w:r w:rsidRPr="00B87256">
              <w:rPr>
                <w:rFonts w:cs="Times New Roman"/>
                <w:spacing w:val="2"/>
                <w:sz w:val="18"/>
                <w:szCs w:val="18"/>
              </w:rPr>
              <w:t>16.3035</w:t>
            </w:r>
          </w:p>
        </w:tc>
      </w:tr>
      <w:tr w:rsidR="00A701F7" w:rsidRPr="00B87256" w:rsidTr="00AC791B">
        <w:trPr>
          <w:trHeight w:val="255"/>
          <w:jc w:val="center"/>
        </w:trPr>
        <w:tc>
          <w:tcPr>
            <w:tcW w:w="1568" w:type="dxa"/>
            <w:shd w:val="clear" w:color="auto" w:fill="auto"/>
            <w:vAlign w:val="center"/>
            <w:hideMark/>
          </w:tcPr>
          <w:p w:rsidR="00A701F7" w:rsidRPr="00AC791B" w:rsidRDefault="00A701F7" w:rsidP="001F0251">
            <w:pPr>
              <w:pStyle w:val="afa"/>
              <w:snapToGrid w:val="0"/>
              <w:rPr>
                <w:rFonts w:cs="Times New Roman"/>
                <w:i/>
                <w:spacing w:val="2"/>
                <w:sz w:val="18"/>
                <w:szCs w:val="18"/>
              </w:rPr>
            </w:pPr>
            <w:r w:rsidRPr="00AC791B">
              <w:rPr>
                <w:rFonts w:cs="Times New Roman" w:hint="eastAsia"/>
                <w:i/>
                <w:spacing w:val="2"/>
                <w:sz w:val="18"/>
                <w:szCs w:val="18"/>
              </w:rPr>
              <w:t>C</w:t>
            </w:r>
            <w:r w:rsidRPr="00AC791B">
              <w:rPr>
                <w:rFonts w:cs="Times New Roman"/>
                <w:i/>
                <w:spacing w:val="2"/>
                <w:sz w:val="18"/>
                <w:szCs w:val="18"/>
              </w:rPr>
              <w:t>apital</w:t>
            </w:r>
            <w:r w:rsidRPr="00AC791B">
              <w:rPr>
                <w:rFonts w:cs="Times New Roman"/>
                <w:spacing w:val="2"/>
                <w:sz w:val="18"/>
                <w:szCs w:val="18"/>
              </w:rPr>
              <w:t>_</w:t>
            </w:r>
            <w:r w:rsidRPr="00AC791B">
              <w:rPr>
                <w:rFonts w:cs="Times New Roman"/>
                <w:i/>
                <w:spacing w:val="2"/>
                <w:sz w:val="18"/>
                <w:szCs w:val="18"/>
              </w:rPr>
              <w:t>intensity</w:t>
            </w:r>
          </w:p>
        </w:tc>
        <w:tc>
          <w:tcPr>
            <w:tcW w:w="1569"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50</w:t>
            </w:r>
          </w:p>
        </w:tc>
        <w:tc>
          <w:tcPr>
            <w:tcW w:w="1569" w:type="dxa"/>
            <w:shd w:val="clear" w:color="auto" w:fill="auto"/>
            <w:vAlign w:val="center"/>
            <w:hideMark/>
          </w:tcPr>
          <w:p w:rsidR="00A701F7" w:rsidRPr="003C75E4" w:rsidRDefault="00A701F7" w:rsidP="001F0251">
            <w:pPr>
              <w:tabs>
                <w:tab w:val="decimal" w:pos="198"/>
              </w:tabs>
              <w:adjustRightInd w:val="0"/>
              <w:snapToGrid w:val="0"/>
              <w:ind w:firstLineChars="0" w:firstLine="0"/>
              <w:rPr>
                <w:rFonts w:eastAsiaTheme="minorEastAsia"/>
                <w:sz w:val="18"/>
                <w:szCs w:val="18"/>
              </w:rPr>
            </w:pPr>
            <w:r w:rsidRPr="003C75E4">
              <w:rPr>
                <w:rFonts w:eastAsiaTheme="minorEastAsia"/>
                <w:sz w:val="18"/>
                <w:szCs w:val="18"/>
              </w:rPr>
              <w:t>12.4784</w:t>
            </w:r>
          </w:p>
        </w:tc>
        <w:tc>
          <w:tcPr>
            <w:tcW w:w="1568" w:type="dxa"/>
            <w:shd w:val="clear" w:color="auto" w:fill="auto"/>
            <w:vAlign w:val="center"/>
            <w:hideMark/>
          </w:tcPr>
          <w:p w:rsidR="00A701F7" w:rsidRPr="00B87256" w:rsidRDefault="00A701F7" w:rsidP="001F0251">
            <w:pPr>
              <w:pStyle w:val="afa"/>
              <w:snapToGrid w:val="0"/>
              <w:rPr>
                <w:rFonts w:cs="Times New Roman"/>
                <w:spacing w:val="2"/>
                <w:sz w:val="18"/>
                <w:szCs w:val="18"/>
              </w:rPr>
            </w:pPr>
            <w:r w:rsidRPr="00B87256">
              <w:rPr>
                <w:rFonts w:cs="Times New Roman"/>
                <w:spacing w:val="2"/>
                <w:sz w:val="18"/>
                <w:szCs w:val="18"/>
              </w:rPr>
              <w:t>1.7061</w:t>
            </w:r>
          </w:p>
        </w:tc>
        <w:tc>
          <w:tcPr>
            <w:tcW w:w="1569" w:type="dxa"/>
            <w:shd w:val="clear" w:color="auto" w:fill="auto"/>
            <w:vAlign w:val="center"/>
            <w:hideMark/>
          </w:tcPr>
          <w:p w:rsidR="00A701F7" w:rsidRPr="00AC791B" w:rsidRDefault="00A701F7" w:rsidP="001F0251">
            <w:pPr>
              <w:tabs>
                <w:tab w:val="decimal" w:pos="170"/>
              </w:tabs>
              <w:adjustRightInd w:val="0"/>
              <w:snapToGrid w:val="0"/>
              <w:ind w:firstLineChars="0" w:firstLine="0"/>
              <w:rPr>
                <w:rFonts w:eastAsiaTheme="minorEastAsia"/>
                <w:sz w:val="18"/>
                <w:szCs w:val="18"/>
              </w:rPr>
            </w:pPr>
            <w:r w:rsidRPr="00AC791B">
              <w:rPr>
                <w:rFonts w:eastAsiaTheme="minorEastAsia"/>
                <w:sz w:val="18"/>
                <w:szCs w:val="18"/>
              </w:rPr>
              <w:t>7.7075</w:t>
            </w:r>
          </w:p>
        </w:tc>
        <w:tc>
          <w:tcPr>
            <w:tcW w:w="1569" w:type="dxa"/>
            <w:shd w:val="clear" w:color="auto" w:fill="auto"/>
            <w:vAlign w:val="center"/>
            <w:hideMark/>
          </w:tcPr>
          <w:p w:rsidR="00A701F7" w:rsidRPr="00B87256" w:rsidRDefault="00A701F7" w:rsidP="005D2BBF">
            <w:pPr>
              <w:pStyle w:val="afa"/>
              <w:tabs>
                <w:tab w:val="decimal" w:pos="181"/>
              </w:tabs>
              <w:snapToGrid w:val="0"/>
              <w:rPr>
                <w:rFonts w:cs="Times New Roman"/>
                <w:spacing w:val="2"/>
                <w:sz w:val="18"/>
                <w:szCs w:val="18"/>
              </w:rPr>
            </w:pPr>
            <w:r w:rsidRPr="00B87256">
              <w:rPr>
                <w:rFonts w:cs="Times New Roman"/>
                <w:spacing w:val="2"/>
                <w:sz w:val="18"/>
                <w:szCs w:val="18"/>
              </w:rPr>
              <w:t>14.6057</w:t>
            </w:r>
          </w:p>
        </w:tc>
      </w:tr>
    </w:tbl>
    <w:p w:rsidR="00A701F7" w:rsidRPr="00A701F7" w:rsidRDefault="00A701F7" w:rsidP="001F0251">
      <w:pPr>
        <w:adjustRightInd w:val="0"/>
        <w:snapToGrid w:val="0"/>
        <w:ind w:firstLineChars="0" w:firstLine="0"/>
        <w:jc w:val="left"/>
        <w:rPr>
          <w:sz w:val="12"/>
        </w:rPr>
      </w:pPr>
    </w:p>
    <w:p w:rsidR="00A701F7" w:rsidRDefault="00A701F7" w:rsidP="001F0251">
      <w:pPr>
        <w:spacing w:line="304" w:lineRule="exact"/>
        <w:ind w:firstLine="420"/>
        <w:rPr>
          <w:iCs/>
        </w:rPr>
      </w:pPr>
      <w:r w:rsidRPr="00A701F7">
        <w:rPr>
          <w:iCs/>
        </w:rPr>
        <w:t>Table 3</w:t>
      </w:r>
      <w:r>
        <w:rPr>
          <w:rFonts w:hint="eastAsia"/>
          <w:iCs/>
        </w:rPr>
        <w:t xml:space="preserve"> </w:t>
      </w:r>
      <w:r w:rsidRPr="00A701F7">
        <w:rPr>
          <w:iCs/>
        </w:rPr>
        <w:t xml:space="preserve">lists the correlations </w:t>
      </w:r>
      <w:r w:rsidR="00AC791B">
        <w:rPr>
          <w:rFonts w:hint="eastAsia"/>
          <w:iCs/>
        </w:rPr>
        <w:t>among</w:t>
      </w:r>
      <w:r w:rsidRPr="00A701F7">
        <w:rPr>
          <w:iCs/>
        </w:rPr>
        <w:t xml:space="preserve"> variables. The bottom half gives Pearson correlation coefficients and the top half gives Spearman correlation coefficients. As shown, strong correlations </w:t>
      </w:r>
      <w:r w:rsidR="00AC791B">
        <w:rPr>
          <w:rFonts w:hint="eastAsia"/>
          <w:iCs/>
        </w:rPr>
        <w:t>among</w:t>
      </w:r>
      <w:r w:rsidRPr="00A701F7">
        <w:rPr>
          <w:iCs/>
        </w:rPr>
        <w:t xml:space="preserve"> the number of the subsidiaries, fixed asset ratio </w:t>
      </w:r>
      <w:r w:rsidRPr="00A701F7">
        <w:rPr>
          <w:i/>
          <w:iCs/>
        </w:rPr>
        <w:t>Capital_intensity</w:t>
      </w:r>
      <w:r w:rsidRPr="00A701F7">
        <w:rPr>
          <w:iCs/>
        </w:rPr>
        <w:t xml:space="preserve">, and </w:t>
      </w:r>
      <w:r w:rsidRPr="00A701F7">
        <w:rPr>
          <w:i/>
          <w:iCs/>
        </w:rPr>
        <w:t>Size</w:t>
      </w:r>
      <w:r>
        <w:rPr>
          <w:rFonts w:hint="eastAsia"/>
          <w:i/>
          <w:iCs/>
        </w:rPr>
        <w:t xml:space="preserve"> </w:t>
      </w:r>
      <w:r w:rsidRPr="00A701F7">
        <w:rPr>
          <w:iCs/>
        </w:rPr>
        <w:t xml:space="preserve">(the logarithm of total assets book value, which is a proxy variable for the corporate scale) reveal on this table. </w:t>
      </w:r>
    </w:p>
    <w:p w:rsidR="007C168F" w:rsidRDefault="007C168F" w:rsidP="001F0251">
      <w:pPr>
        <w:spacing w:line="304" w:lineRule="exact"/>
        <w:ind w:firstLine="420"/>
        <w:rPr>
          <w:iCs/>
        </w:rPr>
      </w:pPr>
      <w:r w:rsidRPr="00D51C66">
        <w:rPr>
          <w:iCs/>
        </w:rPr>
        <w:t>Therefore, it is necessary for us to take these correlations into consideration in this analy</w:t>
      </w:r>
      <w:r w:rsidRPr="00C968F8">
        <w:rPr>
          <w:iCs/>
        </w:rPr>
        <w:t>sis.</w:t>
      </w:r>
    </w:p>
    <w:p w:rsidR="00245069" w:rsidRPr="00245069" w:rsidRDefault="00245069" w:rsidP="001F0251">
      <w:pPr>
        <w:spacing w:line="304" w:lineRule="exact"/>
        <w:ind w:firstLine="420"/>
        <w:rPr>
          <w:iCs/>
        </w:rPr>
      </w:pPr>
      <w:r w:rsidRPr="00245069">
        <w:t>Without any adjustments for</w:t>
      </w:r>
      <w:r w:rsidRPr="00245069">
        <w:rPr>
          <w:rFonts w:hint="eastAsia"/>
        </w:rPr>
        <w:t xml:space="preserve"> E</w:t>
      </w:r>
      <w:r w:rsidRPr="00245069">
        <w:t>quation (4)</w:t>
      </w:r>
      <w:r w:rsidRPr="00245069">
        <w:rPr>
          <w:rFonts w:hint="eastAsia"/>
        </w:rPr>
        <w:t>,</w:t>
      </w:r>
      <w:r w:rsidRPr="00245069">
        <w:t xml:space="preserve"> it is concerned with the endogeneity problem. Parameter estimates from OLS</w:t>
      </w:r>
      <w:r w:rsidRPr="00245069">
        <w:rPr>
          <w:rFonts w:hint="eastAsia"/>
        </w:rPr>
        <w:t>,</w:t>
      </w:r>
      <w:r w:rsidRPr="00245069">
        <w:t xml:space="preserve"> for</w:t>
      </w:r>
      <w:r w:rsidRPr="00245069">
        <w:rPr>
          <w:rFonts w:hint="eastAsia"/>
        </w:rPr>
        <w:t xml:space="preserve"> </w:t>
      </w:r>
      <w:r w:rsidRPr="00245069">
        <w:t>example, will be biased when the regressors are endogenously determined along with</w:t>
      </w:r>
      <w:r w:rsidRPr="00245069">
        <w:rPr>
          <w:rFonts w:hint="eastAsia"/>
        </w:rPr>
        <w:t xml:space="preserve"> </w:t>
      </w:r>
      <w:r w:rsidRPr="00245069">
        <w:t>the dependent variable. Actually, Eq</w:t>
      </w:r>
      <w:r w:rsidRPr="00245069">
        <w:rPr>
          <w:rFonts w:hint="eastAsia"/>
        </w:rPr>
        <w:t>uation</w:t>
      </w:r>
      <w:r w:rsidRPr="00245069">
        <w:t xml:space="preserve"> (5) in the two-equation system allows us to assess whether</w:t>
      </w:r>
      <w:r w:rsidRPr="00245069">
        <w:rPr>
          <w:rFonts w:hint="eastAsia"/>
        </w:rPr>
        <w:t xml:space="preserve"> </w:t>
      </w:r>
      <w:r w:rsidRPr="00245069">
        <w:t>in the cross-section,</w:t>
      </w:r>
      <w:r w:rsidRPr="00245069">
        <w:rPr>
          <w:rFonts w:hint="eastAsia"/>
        </w:rPr>
        <w:t xml:space="preserve"> </w:t>
      </w:r>
      <w:r w:rsidRPr="00245069">
        <w:t>there is a positive association among</w:t>
      </w:r>
      <w:r w:rsidRPr="00245069">
        <w:rPr>
          <w:rFonts w:hint="eastAsia"/>
        </w:rPr>
        <w:t xml:space="preserve"> </w:t>
      </w:r>
      <w:r w:rsidRPr="00245069">
        <w:rPr>
          <w:i/>
        </w:rPr>
        <w:t>Capital_intensity</w:t>
      </w:r>
      <w:r w:rsidRPr="00245069">
        <w:t xml:space="preserve">, </w:t>
      </w:r>
      <w:r w:rsidRPr="00245069">
        <w:rPr>
          <w:i/>
        </w:rPr>
        <w:t>Size</w:t>
      </w:r>
      <w:r w:rsidRPr="00245069">
        <w:t>, and ln</w:t>
      </w:r>
      <w:r w:rsidRPr="00245069">
        <w:rPr>
          <w:i/>
        </w:rPr>
        <w:t>_Subsidiary</w:t>
      </w:r>
      <w:r w:rsidRPr="00245069">
        <w:t xml:space="preserve"> while also controlling for other factors </w:t>
      </w:r>
      <w:r w:rsidRPr="00245069">
        <w:rPr>
          <w:rFonts w:hint="eastAsia"/>
        </w:rPr>
        <w:t xml:space="preserve">that </w:t>
      </w:r>
      <w:r w:rsidRPr="00245069">
        <w:t>previous literature has shown to influence size effect. Eq</w:t>
      </w:r>
      <w:r w:rsidRPr="00245069">
        <w:rPr>
          <w:rFonts w:hint="eastAsia"/>
        </w:rPr>
        <w:t>uation</w:t>
      </w:r>
      <w:r w:rsidRPr="00245069">
        <w:t xml:space="preserve"> (5) </w:t>
      </w:r>
      <w:r>
        <w:rPr>
          <w:rFonts w:hint="eastAsia"/>
        </w:rPr>
        <w:t xml:space="preserve">below </w:t>
      </w:r>
      <w:r w:rsidRPr="00245069">
        <w:t>models an organizational complexity</w:t>
      </w:r>
      <w:r w:rsidRPr="00245069">
        <w:rPr>
          <w:rFonts w:hint="eastAsia"/>
        </w:rPr>
        <w:t xml:space="preserve"> </w:t>
      </w:r>
      <w:r w:rsidRPr="00245069">
        <w:t>and is included</w:t>
      </w:r>
      <w:r w:rsidRPr="00245069">
        <w:rPr>
          <w:rFonts w:hint="eastAsia"/>
        </w:rPr>
        <w:t xml:space="preserve"> </w:t>
      </w:r>
      <w:r w:rsidRPr="00245069">
        <w:t>to control for the endogeneity of size effect and investment opportunity</w:t>
      </w:r>
      <w:r w:rsidRPr="00245069">
        <w:rPr>
          <w:rFonts w:hint="eastAsia"/>
        </w:rPr>
        <w:t xml:space="preserve"> </w:t>
      </w:r>
      <w:r w:rsidRPr="00245069">
        <w:t>in examining market reaction to managers’ behavior</w:t>
      </w:r>
      <w:r w:rsidRPr="00245069">
        <w:rPr>
          <w:rFonts w:hint="eastAsia"/>
        </w:rPr>
        <w:t>s</w:t>
      </w:r>
      <w:r>
        <w:rPr>
          <w:rFonts w:hint="eastAsia"/>
        </w:rPr>
        <w:t>:</w:t>
      </w:r>
    </w:p>
    <w:p w:rsidR="007C168F" w:rsidRDefault="005D2BBF" w:rsidP="001F0251">
      <w:pPr>
        <w:ind w:firstLineChars="0" w:firstLine="0"/>
        <w:jc w:val="right"/>
      </w:pPr>
      <w:r w:rsidRPr="00C664CE">
        <w:rPr>
          <w:position w:val="-108"/>
        </w:rPr>
        <w:object w:dxaOrig="7020" w:dyaOrig="2280">
          <v:shape id="_x0000_i1029" type="#_x0000_t75" style="width:351pt;height:114pt" o:ole="">
            <v:imagedata r:id="rId26" o:title=""/>
          </v:shape>
          <o:OLEObject Type="Embed" ProgID="Equation.DSMT4" ShapeID="_x0000_i1029" DrawAspect="Content" ObjectID="_1486562540" r:id="rId27"/>
        </w:object>
      </w:r>
      <w:r w:rsidR="007C168F">
        <w:rPr>
          <w:rFonts w:hint="eastAsia"/>
        </w:rPr>
        <w:t xml:space="preserve">         (5)</w:t>
      </w:r>
    </w:p>
    <w:p w:rsidR="00420D0F" w:rsidRDefault="00245069" w:rsidP="001F0251">
      <w:pPr>
        <w:spacing w:line="304" w:lineRule="exact"/>
        <w:ind w:firstLine="420"/>
        <w:sectPr w:rsidR="00420D0F" w:rsidSect="003D273F">
          <w:headerReference w:type="even" r:id="rId28"/>
          <w:headerReference w:type="default" r:id="rId29"/>
          <w:footerReference w:type="even" r:id="rId30"/>
          <w:footerReference w:type="default" r:id="rId31"/>
          <w:headerReference w:type="first" r:id="rId32"/>
          <w:footerReference w:type="first" r:id="rId33"/>
          <w:pgSz w:w="11907" w:h="16160" w:code="9"/>
          <w:pgMar w:top="1701" w:right="1247" w:bottom="1701" w:left="1247" w:header="1134" w:footer="1134" w:gutter="0"/>
          <w:pgNumType w:start="10"/>
          <w:cols w:space="720"/>
          <w:noEndnote/>
          <w:titlePg/>
          <w:docGrid w:type="lines" w:linePitch="312" w:charSpace="860"/>
        </w:sectPr>
      </w:pPr>
      <w:r w:rsidRPr="00245069">
        <w:t>Similar to Rajgopal and Shevlin</w:t>
      </w:r>
      <w:r w:rsidRPr="00245069">
        <w:rPr>
          <w:rFonts w:hint="eastAsia"/>
        </w:rPr>
        <w:t xml:space="preserve"> </w:t>
      </w:r>
      <w:r w:rsidRPr="00245069">
        <w:t>(2002) and Coles</w:t>
      </w:r>
      <w:r w:rsidRPr="00245069">
        <w:rPr>
          <w:rFonts w:hint="eastAsia"/>
        </w:rPr>
        <w:t>,</w:t>
      </w:r>
      <w:r w:rsidRPr="00245069">
        <w:t xml:space="preserve"> Daniel</w:t>
      </w:r>
      <w:r w:rsidRPr="00245069">
        <w:rPr>
          <w:rFonts w:hint="eastAsia"/>
        </w:rPr>
        <w:t>, and</w:t>
      </w:r>
      <w:r w:rsidRPr="00245069">
        <w:t xml:space="preserve"> Naveen</w:t>
      </w:r>
      <w:r w:rsidRPr="00245069">
        <w:rPr>
          <w:rFonts w:hint="eastAsia"/>
        </w:rPr>
        <w:t xml:space="preserve"> </w:t>
      </w:r>
      <w:r w:rsidRPr="00245069">
        <w:t>(2006), we use</w:t>
      </w:r>
      <w:r w:rsidRPr="00245069">
        <w:rPr>
          <w:rFonts w:hint="eastAsia"/>
        </w:rPr>
        <w:t xml:space="preserve"> </w:t>
      </w:r>
      <w:r w:rsidRPr="00245069">
        <w:t>two-stage least squares to estimate our simultaneous system of equations, where proxies for market reaction to TPT and organizational complexity are the endogenous, dependent variables.</w:t>
      </w:r>
    </w:p>
    <w:p w:rsidR="00D51C66" w:rsidRDefault="00D51C66" w:rsidP="001F0251">
      <w:pPr>
        <w:ind w:firstLineChars="0" w:firstLine="0"/>
        <w:jc w:val="left"/>
      </w:pPr>
      <w:r w:rsidRPr="00D51C66">
        <w:lastRenderedPageBreak/>
        <w:t>Table 3</w:t>
      </w:r>
    </w:p>
    <w:p w:rsidR="0089129D" w:rsidRDefault="00D51C66" w:rsidP="001F0251">
      <w:pPr>
        <w:ind w:firstLineChars="0" w:firstLine="0"/>
        <w:jc w:val="left"/>
        <w:rPr>
          <w:i/>
        </w:rPr>
      </w:pPr>
      <w:r w:rsidRPr="00D51C66">
        <w:rPr>
          <w:i/>
        </w:rPr>
        <w:t>Correlation Matrix</w:t>
      </w:r>
    </w:p>
    <w:tbl>
      <w:tblPr>
        <w:tblStyle w:val="20"/>
        <w:tblW w:w="12758" w:type="dxa"/>
        <w:jc w:val="center"/>
        <w:tblBorders>
          <w:top w:val="single" w:sz="12" w:space="0" w:color="000000" w:themeColor="text1"/>
          <w:bottom w:val="single" w:sz="12" w:space="0" w:color="000000" w:themeColor="text1"/>
        </w:tblBorders>
        <w:tblLayout w:type="fixed"/>
        <w:tblCellMar>
          <w:left w:w="28" w:type="dxa"/>
          <w:right w:w="28" w:type="dxa"/>
        </w:tblCellMar>
        <w:tblLook w:val="0000"/>
      </w:tblPr>
      <w:tblGrid>
        <w:gridCol w:w="968"/>
        <w:gridCol w:w="592"/>
        <w:gridCol w:w="764"/>
        <w:gridCol w:w="560"/>
        <w:gridCol w:w="476"/>
        <w:gridCol w:w="630"/>
        <w:gridCol w:w="830"/>
        <w:gridCol w:w="567"/>
        <w:gridCol w:w="709"/>
        <w:gridCol w:w="665"/>
        <w:gridCol w:w="504"/>
        <w:gridCol w:w="616"/>
        <w:gridCol w:w="483"/>
        <w:gridCol w:w="992"/>
        <w:gridCol w:w="709"/>
        <w:gridCol w:w="850"/>
        <w:gridCol w:w="479"/>
        <w:gridCol w:w="560"/>
        <w:gridCol w:w="804"/>
      </w:tblGrid>
      <w:tr w:rsidR="00BC65FB" w:rsidRPr="00182065" w:rsidTr="00F55802">
        <w:trPr>
          <w:cnfStyle w:val="000000100000"/>
          <w:trHeight w:val="206"/>
          <w:jc w:val="center"/>
        </w:trPr>
        <w:tc>
          <w:tcPr>
            <w:cnfStyle w:val="000010000000"/>
            <w:tcW w:w="968" w:type="dxa"/>
            <w:tcBorders>
              <w:top w:val="single" w:sz="12" w:space="0" w:color="000000" w:themeColor="text1"/>
              <w:bottom w:val="single" w:sz="4" w:space="0" w:color="000000" w:themeColor="text1"/>
            </w:tcBorders>
            <w:shd w:val="clear" w:color="auto" w:fill="auto"/>
            <w:vAlign w:val="center"/>
          </w:tcPr>
          <w:p w:rsidR="00D51C66" w:rsidRPr="005D74B9" w:rsidRDefault="007C168F" w:rsidP="001F0251">
            <w:pPr>
              <w:adjustRightInd w:val="0"/>
              <w:snapToGrid w:val="0"/>
              <w:ind w:firstLineChars="0" w:firstLine="0"/>
              <w:rPr>
                <w:sz w:val="13"/>
                <w:szCs w:val="13"/>
              </w:rPr>
            </w:pPr>
            <w:r w:rsidRPr="005D74B9">
              <w:rPr>
                <w:sz w:val="13"/>
                <w:szCs w:val="13"/>
              </w:rPr>
              <w:t>Variable</w:t>
            </w:r>
          </w:p>
        </w:tc>
        <w:tc>
          <w:tcPr>
            <w:tcW w:w="592" w:type="dxa"/>
            <w:tcBorders>
              <w:top w:val="single" w:sz="12" w:space="0" w:color="000000" w:themeColor="text1"/>
              <w:bottom w:val="single" w:sz="4" w:space="0" w:color="000000" w:themeColor="text1"/>
            </w:tcBorders>
            <w:shd w:val="clear" w:color="auto" w:fill="auto"/>
            <w:vAlign w:val="center"/>
          </w:tcPr>
          <w:p w:rsidR="00D51C66" w:rsidRPr="005D74B9" w:rsidRDefault="00D51C66" w:rsidP="001F0251">
            <w:pPr>
              <w:adjustRightInd w:val="0"/>
              <w:snapToGrid w:val="0"/>
              <w:ind w:firstLineChars="0" w:firstLine="0"/>
              <w:cnfStyle w:val="000000100000"/>
              <w:rPr>
                <w:spacing w:val="-2"/>
                <w:sz w:val="13"/>
                <w:szCs w:val="13"/>
              </w:rPr>
            </w:pPr>
            <w:r w:rsidRPr="003C75E4">
              <w:rPr>
                <w:i/>
                <w:spacing w:val="-2"/>
                <w:sz w:val="13"/>
                <w:szCs w:val="13"/>
              </w:rPr>
              <w:t>CAR</w:t>
            </w:r>
            <w:r w:rsidR="005D74B9" w:rsidRPr="005D74B9">
              <w:rPr>
                <w:rFonts w:hint="eastAsia"/>
                <w:spacing w:val="-2"/>
                <w:sz w:val="13"/>
                <w:szCs w:val="13"/>
              </w:rPr>
              <w:t xml:space="preserve"> </w:t>
            </w:r>
            <w:r w:rsidRPr="005D74B9">
              <w:rPr>
                <w:spacing w:val="-2"/>
                <w:sz w:val="13"/>
                <w:szCs w:val="13"/>
              </w:rPr>
              <w:t>(0,1)</w:t>
            </w:r>
          </w:p>
        </w:tc>
        <w:tc>
          <w:tcPr>
            <w:cnfStyle w:val="000010000000"/>
            <w:tcW w:w="764" w:type="dxa"/>
            <w:tcBorders>
              <w:top w:val="single" w:sz="12" w:space="0" w:color="000000" w:themeColor="text1"/>
              <w:bottom w:val="single" w:sz="4" w:space="0" w:color="000000" w:themeColor="text1"/>
            </w:tcBorders>
            <w:shd w:val="clear" w:color="auto" w:fill="auto"/>
            <w:vAlign w:val="center"/>
          </w:tcPr>
          <w:p w:rsidR="00D51C66" w:rsidRPr="005D74B9" w:rsidRDefault="00D51C66" w:rsidP="001F0251">
            <w:pPr>
              <w:adjustRightInd w:val="0"/>
              <w:snapToGrid w:val="0"/>
              <w:ind w:firstLineChars="0" w:firstLine="0"/>
              <w:rPr>
                <w:spacing w:val="-2"/>
                <w:sz w:val="13"/>
                <w:szCs w:val="13"/>
              </w:rPr>
            </w:pPr>
            <w:r w:rsidRPr="005D74B9">
              <w:rPr>
                <w:spacing w:val="-2"/>
                <w:sz w:val="13"/>
                <w:szCs w:val="13"/>
              </w:rPr>
              <w:t>ln_</w:t>
            </w:r>
            <w:r w:rsidR="005D74B9" w:rsidRPr="005D74B9">
              <w:rPr>
                <w:rFonts w:hint="eastAsia"/>
                <w:i/>
                <w:spacing w:val="-2"/>
                <w:sz w:val="13"/>
                <w:szCs w:val="13"/>
              </w:rPr>
              <w:t>S</w:t>
            </w:r>
            <w:r w:rsidRPr="005D74B9">
              <w:rPr>
                <w:i/>
                <w:spacing w:val="-2"/>
                <w:sz w:val="13"/>
                <w:szCs w:val="13"/>
              </w:rPr>
              <w:t>ubsidiary</w:t>
            </w:r>
          </w:p>
        </w:tc>
        <w:tc>
          <w:tcPr>
            <w:tcW w:w="560" w:type="dxa"/>
            <w:tcBorders>
              <w:top w:val="single" w:sz="12" w:space="0" w:color="000000" w:themeColor="text1"/>
              <w:bottom w:val="single" w:sz="4" w:space="0" w:color="000000" w:themeColor="text1"/>
            </w:tcBorders>
            <w:shd w:val="clear" w:color="auto" w:fill="auto"/>
            <w:vAlign w:val="center"/>
          </w:tcPr>
          <w:p w:rsidR="00D51C66" w:rsidRPr="005D74B9" w:rsidRDefault="00D51C66" w:rsidP="001F0251">
            <w:pPr>
              <w:adjustRightInd w:val="0"/>
              <w:snapToGrid w:val="0"/>
              <w:ind w:firstLineChars="0" w:firstLine="0"/>
              <w:cnfStyle w:val="000000100000"/>
              <w:rPr>
                <w:i/>
                <w:sz w:val="13"/>
                <w:szCs w:val="13"/>
              </w:rPr>
            </w:pPr>
            <w:r w:rsidRPr="005D74B9">
              <w:rPr>
                <w:i/>
                <w:sz w:val="13"/>
                <w:szCs w:val="13"/>
              </w:rPr>
              <w:t>Manufac</w:t>
            </w:r>
            <w:r w:rsidR="005D74B9" w:rsidRPr="005D74B9">
              <w:rPr>
                <w:rFonts w:hint="eastAsia"/>
                <w:i/>
                <w:sz w:val="13"/>
                <w:szCs w:val="13"/>
              </w:rPr>
              <w:t>t</w:t>
            </w:r>
          </w:p>
        </w:tc>
        <w:tc>
          <w:tcPr>
            <w:cnfStyle w:val="000010000000"/>
            <w:tcW w:w="476" w:type="dxa"/>
            <w:tcBorders>
              <w:top w:val="single" w:sz="12" w:space="0" w:color="000000" w:themeColor="text1"/>
              <w:bottom w:val="single" w:sz="4" w:space="0" w:color="000000" w:themeColor="text1"/>
            </w:tcBorders>
            <w:shd w:val="clear" w:color="auto" w:fill="auto"/>
            <w:vAlign w:val="center"/>
          </w:tcPr>
          <w:p w:rsidR="00D51C66" w:rsidRPr="005D74B9" w:rsidRDefault="00D51C66" w:rsidP="001F0251">
            <w:pPr>
              <w:adjustRightInd w:val="0"/>
              <w:snapToGrid w:val="0"/>
              <w:ind w:firstLineChars="0" w:firstLine="0"/>
              <w:rPr>
                <w:i/>
                <w:sz w:val="13"/>
                <w:szCs w:val="13"/>
              </w:rPr>
            </w:pPr>
            <w:r w:rsidRPr="005D74B9">
              <w:rPr>
                <w:i/>
                <w:sz w:val="13"/>
                <w:szCs w:val="13"/>
              </w:rPr>
              <w:t>ETR</w:t>
            </w:r>
          </w:p>
        </w:tc>
        <w:tc>
          <w:tcPr>
            <w:tcW w:w="630" w:type="dxa"/>
            <w:tcBorders>
              <w:top w:val="single" w:sz="12" w:space="0" w:color="000000" w:themeColor="text1"/>
              <w:bottom w:val="single" w:sz="4" w:space="0" w:color="000000" w:themeColor="text1"/>
            </w:tcBorders>
            <w:shd w:val="clear" w:color="auto" w:fill="auto"/>
            <w:vAlign w:val="center"/>
          </w:tcPr>
          <w:p w:rsidR="00D51C66" w:rsidRPr="005D74B9" w:rsidRDefault="00D51C66" w:rsidP="001F0251">
            <w:pPr>
              <w:adjustRightInd w:val="0"/>
              <w:snapToGrid w:val="0"/>
              <w:ind w:firstLineChars="0" w:firstLine="0"/>
              <w:cnfStyle w:val="000000100000"/>
              <w:rPr>
                <w:sz w:val="13"/>
                <w:szCs w:val="13"/>
              </w:rPr>
            </w:pPr>
            <w:r w:rsidRPr="005D74B9">
              <w:rPr>
                <w:i/>
                <w:sz w:val="13"/>
                <w:szCs w:val="13"/>
              </w:rPr>
              <w:t>Cash</w:t>
            </w:r>
            <w:r w:rsidRPr="005D74B9">
              <w:rPr>
                <w:sz w:val="13"/>
                <w:szCs w:val="13"/>
              </w:rPr>
              <w:t>_</w:t>
            </w:r>
            <w:r w:rsidRPr="005D74B9">
              <w:rPr>
                <w:i/>
                <w:sz w:val="13"/>
                <w:szCs w:val="13"/>
              </w:rPr>
              <w:t>ETR</w:t>
            </w:r>
          </w:p>
        </w:tc>
        <w:tc>
          <w:tcPr>
            <w:cnfStyle w:val="000010000000"/>
            <w:tcW w:w="830" w:type="dxa"/>
            <w:tcBorders>
              <w:top w:val="single" w:sz="12" w:space="0" w:color="000000" w:themeColor="text1"/>
              <w:bottom w:val="single" w:sz="4" w:space="0" w:color="000000" w:themeColor="text1"/>
            </w:tcBorders>
            <w:shd w:val="clear" w:color="auto" w:fill="auto"/>
            <w:vAlign w:val="center"/>
          </w:tcPr>
          <w:p w:rsidR="00D51C66" w:rsidRPr="005D74B9" w:rsidRDefault="00D51C66" w:rsidP="001F0251">
            <w:pPr>
              <w:adjustRightInd w:val="0"/>
              <w:snapToGrid w:val="0"/>
              <w:ind w:firstLineChars="0" w:firstLine="0"/>
              <w:rPr>
                <w:sz w:val="13"/>
                <w:szCs w:val="13"/>
              </w:rPr>
            </w:pPr>
            <w:r w:rsidRPr="005D74B9">
              <w:rPr>
                <w:i/>
                <w:sz w:val="13"/>
                <w:szCs w:val="13"/>
              </w:rPr>
              <w:t>Loss</w:t>
            </w:r>
            <w:r w:rsidRPr="005D74B9">
              <w:rPr>
                <w:sz w:val="13"/>
                <w:szCs w:val="13"/>
              </w:rPr>
              <w:t>_</w:t>
            </w:r>
            <w:r w:rsidRPr="005D74B9">
              <w:rPr>
                <w:i/>
                <w:sz w:val="13"/>
                <w:szCs w:val="13"/>
              </w:rPr>
              <w:t>dummy</w:t>
            </w:r>
          </w:p>
        </w:tc>
        <w:tc>
          <w:tcPr>
            <w:tcW w:w="567" w:type="dxa"/>
            <w:tcBorders>
              <w:top w:val="single" w:sz="12" w:space="0" w:color="000000" w:themeColor="text1"/>
              <w:bottom w:val="single" w:sz="4" w:space="0" w:color="000000" w:themeColor="text1"/>
            </w:tcBorders>
            <w:shd w:val="clear" w:color="auto" w:fill="auto"/>
            <w:vAlign w:val="center"/>
          </w:tcPr>
          <w:p w:rsidR="00D51C66" w:rsidRPr="005D74B9" w:rsidRDefault="00D51C66" w:rsidP="001F0251">
            <w:pPr>
              <w:adjustRightInd w:val="0"/>
              <w:snapToGrid w:val="0"/>
              <w:ind w:firstLineChars="0" w:firstLine="0"/>
              <w:cnfStyle w:val="000000100000"/>
              <w:rPr>
                <w:i/>
                <w:sz w:val="13"/>
                <w:szCs w:val="13"/>
              </w:rPr>
            </w:pPr>
            <w:r w:rsidRPr="005D74B9">
              <w:rPr>
                <w:i/>
                <w:sz w:val="13"/>
                <w:szCs w:val="13"/>
              </w:rPr>
              <w:t>Advertise</w:t>
            </w:r>
          </w:p>
        </w:tc>
        <w:tc>
          <w:tcPr>
            <w:cnfStyle w:val="000010000000"/>
            <w:tcW w:w="709" w:type="dxa"/>
            <w:tcBorders>
              <w:top w:val="single" w:sz="12" w:space="0" w:color="000000" w:themeColor="text1"/>
              <w:bottom w:val="single" w:sz="4" w:space="0" w:color="000000" w:themeColor="text1"/>
            </w:tcBorders>
            <w:shd w:val="clear" w:color="auto" w:fill="auto"/>
            <w:vAlign w:val="center"/>
          </w:tcPr>
          <w:p w:rsidR="00D51C66" w:rsidRPr="00F55802" w:rsidRDefault="00D51C66" w:rsidP="001F0251">
            <w:pPr>
              <w:adjustRightInd w:val="0"/>
              <w:snapToGrid w:val="0"/>
              <w:ind w:firstLineChars="0" w:firstLine="0"/>
              <w:rPr>
                <w:i/>
                <w:spacing w:val="-3"/>
                <w:sz w:val="13"/>
                <w:szCs w:val="13"/>
              </w:rPr>
            </w:pPr>
            <w:r w:rsidRPr="00F55802">
              <w:rPr>
                <w:i/>
                <w:spacing w:val="-3"/>
                <w:sz w:val="13"/>
                <w:szCs w:val="13"/>
              </w:rPr>
              <w:t>Foreignsales</w:t>
            </w:r>
          </w:p>
        </w:tc>
        <w:tc>
          <w:tcPr>
            <w:tcW w:w="665" w:type="dxa"/>
            <w:tcBorders>
              <w:top w:val="single" w:sz="12" w:space="0" w:color="000000" w:themeColor="text1"/>
              <w:bottom w:val="single" w:sz="4" w:space="0" w:color="000000" w:themeColor="text1"/>
            </w:tcBorders>
            <w:shd w:val="clear" w:color="auto" w:fill="auto"/>
            <w:vAlign w:val="center"/>
          </w:tcPr>
          <w:p w:rsidR="00D51C66" w:rsidRPr="00F55802" w:rsidRDefault="00D51C66" w:rsidP="001F0251">
            <w:pPr>
              <w:adjustRightInd w:val="0"/>
              <w:snapToGrid w:val="0"/>
              <w:ind w:firstLineChars="0" w:firstLine="0"/>
              <w:cnfStyle w:val="000000100000"/>
              <w:rPr>
                <w:i/>
                <w:sz w:val="13"/>
                <w:szCs w:val="13"/>
              </w:rPr>
            </w:pPr>
            <w:r w:rsidRPr="00F55802">
              <w:rPr>
                <w:i/>
                <w:sz w:val="13"/>
                <w:szCs w:val="13"/>
              </w:rPr>
              <w:t>Intangibles</w:t>
            </w:r>
          </w:p>
        </w:tc>
        <w:tc>
          <w:tcPr>
            <w:cnfStyle w:val="000010000000"/>
            <w:tcW w:w="504" w:type="dxa"/>
            <w:tcBorders>
              <w:top w:val="single" w:sz="12" w:space="0" w:color="000000" w:themeColor="text1"/>
              <w:bottom w:val="single" w:sz="4" w:space="0" w:color="000000" w:themeColor="text1"/>
            </w:tcBorders>
            <w:shd w:val="clear" w:color="auto" w:fill="auto"/>
            <w:vAlign w:val="center"/>
          </w:tcPr>
          <w:p w:rsidR="00D51C66" w:rsidRPr="00F55802" w:rsidRDefault="00D51C66" w:rsidP="001F0251">
            <w:pPr>
              <w:adjustRightInd w:val="0"/>
              <w:snapToGrid w:val="0"/>
              <w:ind w:firstLineChars="0" w:firstLine="0"/>
              <w:rPr>
                <w:i/>
                <w:sz w:val="13"/>
                <w:szCs w:val="13"/>
              </w:rPr>
            </w:pPr>
            <w:r w:rsidRPr="00F55802">
              <w:rPr>
                <w:i/>
                <w:sz w:val="13"/>
                <w:szCs w:val="13"/>
              </w:rPr>
              <w:t>Rd</w:t>
            </w:r>
          </w:p>
        </w:tc>
        <w:tc>
          <w:tcPr>
            <w:tcW w:w="616" w:type="dxa"/>
            <w:tcBorders>
              <w:top w:val="single" w:sz="12" w:space="0" w:color="000000" w:themeColor="text1"/>
              <w:bottom w:val="single" w:sz="4" w:space="0" w:color="000000" w:themeColor="text1"/>
            </w:tcBorders>
            <w:shd w:val="clear" w:color="auto" w:fill="auto"/>
            <w:vAlign w:val="center"/>
          </w:tcPr>
          <w:p w:rsidR="00D51C66" w:rsidRPr="00F55802" w:rsidRDefault="00D51C66" w:rsidP="001F0251">
            <w:pPr>
              <w:adjustRightInd w:val="0"/>
              <w:snapToGrid w:val="0"/>
              <w:ind w:firstLineChars="0" w:firstLine="0"/>
              <w:cnfStyle w:val="000000100000"/>
              <w:rPr>
                <w:i/>
                <w:sz w:val="13"/>
                <w:szCs w:val="13"/>
                <w:lang w:eastAsia="zh-CN"/>
              </w:rPr>
            </w:pPr>
            <w:r w:rsidRPr="00F55802">
              <w:rPr>
                <w:i/>
                <w:sz w:val="13"/>
                <w:szCs w:val="13"/>
              </w:rPr>
              <w:t>Leverage</w:t>
            </w:r>
          </w:p>
        </w:tc>
        <w:tc>
          <w:tcPr>
            <w:cnfStyle w:val="000010000000"/>
            <w:tcW w:w="483" w:type="dxa"/>
            <w:tcBorders>
              <w:top w:val="single" w:sz="12" w:space="0" w:color="000000" w:themeColor="text1"/>
              <w:bottom w:val="single" w:sz="4" w:space="0" w:color="000000" w:themeColor="text1"/>
            </w:tcBorders>
            <w:shd w:val="clear" w:color="auto" w:fill="auto"/>
            <w:vAlign w:val="center"/>
          </w:tcPr>
          <w:p w:rsidR="00D51C66" w:rsidRPr="00F55802" w:rsidRDefault="005D74B9" w:rsidP="001F0251">
            <w:pPr>
              <w:adjustRightInd w:val="0"/>
              <w:snapToGrid w:val="0"/>
              <w:ind w:firstLineChars="0" w:firstLine="0"/>
              <w:rPr>
                <w:i/>
                <w:sz w:val="13"/>
                <w:szCs w:val="13"/>
              </w:rPr>
            </w:pPr>
            <w:r w:rsidRPr="00F55802">
              <w:rPr>
                <w:i/>
                <w:sz w:val="13"/>
                <w:szCs w:val="13"/>
              </w:rPr>
              <w:t>Size</w:t>
            </w:r>
          </w:p>
        </w:tc>
        <w:tc>
          <w:tcPr>
            <w:tcW w:w="992" w:type="dxa"/>
            <w:tcBorders>
              <w:top w:val="single" w:sz="12" w:space="0" w:color="000000" w:themeColor="text1"/>
              <w:bottom w:val="single" w:sz="4" w:space="0" w:color="000000" w:themeColor="text1"/>
            </w:tcBorders>
            <w:shd w:val="clear" w:color="auto" w:fill="auto"/>
            <w:vAlign w:val="center"/>
          </w:tcPr>
          <w:p w:rsidR="00D51C66" w:rsidRPr="00F55802" w:rsidRDefault="00D51C66" w:rsidP="001F0251">
            <w:pPr>
              <w:adjustRightInd w:val="0"/>
              <w:snapToGrid w:val="0"/>
              <w:ind w:firstLineChars="0" w:firstLine="0"/>
              <w:cnfStyle w:val="000000100000"/>
              <w:rPr>
                <w:i/>
                <w:sz w:val="13"/>
                <w:szCs w:val="13"/>
              </w:rPr>
            </w:pPr>
            <w:r w:rsidRPr="00F55802">
              <w:rPr>
                <w:i/>
                <w:sz w:val="13"/>
                <w:szCs w:val="13"/>
              </w:rPr>
              <w:t>Capital_intensity</w:t>
            </w:r>
          </w:p>
        </w:tc>
        <w:tc>
          <w:tcPr>
            <w:cnfStyle w:val="000010000000"/>
            <w:tcW w:w="709" w:type="dxa"/>
            <w:tcBorders>
              <w:top w:val="single" w:sz="12" w:space="0" w:color="000000" w:themeColor="text1"/>
              <w:bottom w:val="single" w:sz="4" w:space="0" w:color="000000" w:themeColor="text1"/>
            </w:tcBorders>
            <w:shd w:val="clear" w:color="auto" w:fill="auto"/>
            <w:vAlign w:val="center"/>
          </w:tcPr>
          <w:p w:rsidR="00D51C66" w:rsidRPr="00F55802" w:rsidRDefault="00F55802" w:rsidP="001F0251">
            <w:pPr>
              <w:adjustRightInd w:val="0"/>
              <w:snapToGrid w:val="0"/>
              <w:ind w:firstLineChars="0" w:firstLine="0"/>
              <w:rPr>
                <w:spacing w:val="-3"/>
                <w:sz w:val="13"/>
                <w:szCs w:val="13"/>
              </w:rPr>
            </w:pPr>
            <w:r w:rsidRPr="00F55802">
              <w:rPr>
                <w:i/>
                <w:spacing w:val="-3"/>
                <w:sz w:val="13"/>
                <w:szCs w:val="13"/>
              </w:rPr>
              <w:t>Current</w:t>
            </w:r>
            <w:r w:rsidRPr="00F55802">
              <w:rPr>
                <w:rFonts w:hint="eastAsia"/>
                <w:spacing w:val="-3"/>
                <w:sz w:val="13"/>
                <w:szCs w:val="13"/>
                <w:lang w:eastAsia="zh-CN"/>
              </w:rPr>
              <w:t>_</w:t>
            </w:r>
            <w:r w:rsidR="00D51C66" w:rsidRPr="00F55802">
              <w:rPr>
                <w:i/>
                <w:spacing w:val="-3"/>
                <w:sz w:val="13"/>
                <w:szCs w:val="13"/>
              </w:rPr>
              <w:t>rate</w:t>
            </w:r>
          </w:p>
        </w:tc>
        <w:tc>
          <w:tcPr>
            <w:tcW w:w="850" w:type="dxa"/>
            <w:tcBorders>
              <w:top w:val="single" w:sz="12" w:space="0" w:color="000000" w:themeColor="text1"/>
              <w:bottom w:val="single" w:sz="4" w:space="0" w:color="000000" w:themeColor="text1"/>
            </w:tcBorders>
            <w:shd w:val="clear" w:color="auto" w:fill="auto"/>
            <w:vAlign w:val="center"/>
          </w:tcPr>
          <w:p w:rsidR="00D51C66" w:rsidRPr="00F55802" w:rsidRDefault="00D51C66" w:rsidP="001F0251">
            <w:pPr>
              <w:adjustRightInd w:val="0"/>
              <w:snapToGrid w:val="0"/>
              <w:ind w:firstLineChars="0" w:firstLine="0"/>
              <w:cnfStyle w:val="000000100000"/>
              <w:rPr>
                <w:i/>
                <w:spacing w:val="-5"/>
                <w:sz w:val="13"/>
                <w:szCs w:val="13"/>
              </w:rPr>
            </w:pPr>
            <w:r w:rsidRPr="00F55802">
              <w:rPr>
                <w:i/>
                <w:spacing w:val="-5"/>
                <w:sz w:val="13"/>
                <w:szCs w:val="13"/>
              </w:rPr>
              <w:t>Interestcoverage</w:t>
            </w:r>
          </w:p>
        </w:tc>
        <w:tc>
          <w:tcPr>
            <w:cnfStyle w:val="000010000000"/>
            <w:tcW w:w="479" w:type="dxa"/>
            <w:tcBorders>
              <w:top w:val="single" w:sz="12" w:space="0" w:color="000000" w:themeColor="text1"/>
              <w:bottom w:val="single" w:sz="4" w:space="0" w:color="000000" w:themeColor="text1"/>
            </w:tcBorders>
            <w:shd w:val="clear" w:color="auto" w:fill="auto"/>
            <w:vAlign w:val="center"/>
          </w:tcPr>
          <w:p w:rsidR="00D51C66" w:rsidRPr="00F55802" w:rsidRDefault="00D51C66" w:rsidP="001F0251">
            <w:pPr>
              <w:adjustRightInd w:val="0"/>
              <w:snapToGrid w:val="0"/>
              <w:ind w:firstLineChars="0" w:firstLine="0"/>
              <w:rPr>
                <w:i/>
                <w:sz w:val="13"/>
                <w:szCs w:val="13"/>
              </w:rPr>
            </w:pPr>
            <w:r w:rsidRPr="00F55802">
              <w:rPr>
                <w:i/>
                <w:sz w:val="13"/>
                <w:szCs w:val="13"/>
              </w:rPr>
              <w:t>High rd</w:t>
            </w:r>
          </w:p>
        </w:tc>
        <w:tc>
          <w:tcPr>
            <w:tcW w:w="560" w:type="dxa"/>
            <w:tcBorders>
              <w:top w:val="single" w:sz="12" w:space="0" w:color="000000" w:themeColor="text1"/>
              <w:bottom w:val="single" w:sz="4" w:space="0" w:color="000000" w:themeColor="text1"/>
            </w:tcBorders>
            <w:shd w:val="clear" w:color="auto" w:fill="auto"/>
            <w:vAlign w:val="center"/>
          </w:tcPr>
          <w:p w:rsidR="00D51C66" w:rsidRPr="00F55802" w:rsidRDefault="00D51C66" w:rsidP="001F0251">
            <w:pPr>
              <w:adjustRightInd w:val="0"/>
              <w:snapToGrid w:val="0"/>
              <w:ind w:firstLineChars="0" w:firstLine="0"/>
              <w:cnfStyle w:val="000000100000"/>
              <w:rPr>
                <w:i/>
                <w:sz w:val="13"/>
                <w:szCs w:val="13"/>
              </w:rPr>
            </w:pPr>
            <w:r w:rsidRPr="00F55802">
              <w:rPr>
                <w:i/>
                <w:sz w:val="13"/>
                <w:szCs w:val="13"/>
              </w:rPr>
              <w:t xml:space="preserve">High </w:t>
            </w:r>
          </w:p>
          <w:p w:rsidR="00D51C66" w:rsidRPr="00F55802" w:rsidRDefault="00D51C66" w:rsidP="001F0251">
            <w:pPr>
              <w:adjustRightInd w:val="0"/>
              <w:snapToGrid w:val="0"/>
              <w:ind w:firstLineChars="0" w:firstLine="0"/>
              <w:cnfStyle w:val="000000100000"/>
              <w:rPr>
                <w:i/>
                <w:sz w:val="13"/>
                <w:szCs w:val="13"/>
              </w:rPr>
            </w:pPr>
            <w:r w:rsidRPr="00F55802">
              <w:rPr>
                <w:i/>
                <w:sz w:val="13"/>
                <w:szCs w:val="13"/>
              </w:rPr>
              <w:t>advertise</w:t>
            </w:r>
          </w:p>
        </w:tc>
        <w:tc>
          <w:tcPr>
            <w:cnfStyle w:val="000010000000"/>
            <w:tcW w:w="804" w:type="dxa"/>
            <w:tcBorders>
              <w:top w:val="single" w:sz="12" w:space="0" w:color="000000" w:themeColor="text1"/>
              <w:bottom w:val="single" w:sz="4" w:space="0" w:color="000000" w:themeColor="text1"/>
            </w:tcBorders>
            <w:shd w:val="clear" w:color="auto" w:fill="auto"/>
            <w:vAlign w:val="center"/>
          </w:tcPr>
          <w:p w:rsidR="00D51C66" w:rsidRPr="00F55802" w:rsidRDefault="00D51C66" w:rsidP="001F0251">
            <w:pPr>
              <w:adjustRightInd w:val="0"/>
              <w:snapToGrid w:val="0"/>
              <w:ind w:firstLineChars="0" w:firstLine="0"/>
              <w:rPr>
                <w:i/>
                <w:spacing w:val="-2"/>
                <w:sz w:val="13"/>
                <w:szCs w:val="13"/>
              </w:rPr>
            </w:pPr>
            <w:r w:rsidRPr="00F55802">
              <w:rPr>
                <w:i/>
                <w:spacing w:val="-2"/>
                <w:sz w:val="13"/>
                <w:szCs w:val="13"/>
              </w:rPr>
              <w:t>Compensation</w:t>
            </w:r>
          </w:p>
        </w:tc>
      </w:tr>
      <w:tr w:rsidR="00BC65FB" w:rsidRPr="00182065" w:rsidTr="00F55802">
        <w:trPr>
          <w:trHeight w:val="255"/>
          <w:jc w:val="center"/>
        </w:trPr>
        <w:tc>
          <w:tcPr>
            <w:cnfStyle w:val="000010000000"/>
            <w:tcW w:w="968" w:type="dxa"/>
            <w:tcBorders>
              <w:top w:val="single" w:sz="4" w:space="0" w:color="000000" w:themeColor="text1"/>
            </w:tcBorders>
            <w:shd w:val="clear" w:color="auto" w:fill="auto"/>
            <w:vAlign w:val="center"/>
          </w:tcPr>
          <w:p w:rsidR="00D51C66" w:rsidRPr="00F55802" w:rsidRDefault="00D51C66" w:rsidP="001F0251">
            <w:pPr>
              <w:adjustRightInd w:val="0"/>
              <w:snapToGrid w:val="0"/>
              <w:ind w:firstLineChars="0" w:firstLine="0"/>
              <w:rPr>
                <w:i/>
                <w:sz w:val="13"/>
                <w:szCs w:val="13"/>
                <w:lang w:eastAsia="zh-CN"/>
              </w:rPr>
            </w:pPr>
            <w:r w:rsidRPr="00F55802">
              <w:rPr>
                <w:i/>
                <w:sz w:val="13"/>
                <w:szCs w:val="13"/>
              </w:rPr>
              <w:t>CAR</w:t>
            </w:r>
            <w:r w:rsidR="00F55802" w:rsidRPr="00F55802">
              <w:rPr>
                <w:rFonts w:hint="eastAsia"/>
                <w:sz w:val="13"/>
                <w:szCs w:val="13"/>
                <w:lang w:eastAsia="zh-CN"/>
              </w:rPr>
              <w:t xml:space="preserve"> (0,1)</w:t>
            </w:r>
          </w:p>
        </w:tc>
        <w:tc>
          <w:tcPr>
            <w:tcW w:w="592" w:type="dxa"/>
            <w:tcBorders>
              <w:top w:val="single" w:sz="4" w:space="0" w:color="000000" w:themeColor="text1"/>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1</w:t>
            </w:r>
          </w:p>
        </w:tc>
        <w:tc>
          <w:tcPr>
            <w:cnfStyle w:val="000010000000"/>
            <w:tcW w:w="764" w:type="dxa"/>
            <w:tcBorders>
              <w:top w:val="single" w:sz="4" w:space="0" w:color="000000" w:themeColor="text1"/>
            </w:tcBorders>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-0.1211</w:t>
            </w:r>
          </w:p>
        </w:tc>
        <w:tc>
          <w:tcPr>
            <w:tcW w:w="560" w:type="dxa"/>
            <w:tcBorders>
              <w:top w:val="single" w:sz="4" w:space="0" w:color="000000" w:themeColor="text1"/>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-0.1122</w:t>
            </w:r>
          </w:p>
        </w:tc>
        <w:tc>
          <w:tcPr>
            <w:cnfStyle w:val="000010000000"/>
            <w:tcW w:w="476" w:type="dxa"/>
            <w:tcBorders>
              <w:top w:val="single" w:sz="4" w:space="0" w:color="000000" w:themeColor="text1"/>
            </w:tcBorders>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0.1748</w:t>
            </w:r>
          </w:p>
        </w:tc>
        <w:tc>
          <w:tcPr>
            <w:tcW w:w="630" w:type="dxa"/>
            <w:tcBorders>
              <w:top w:val="single" w:sz="4" w:space="0" w:color="000000" w:themeColor="text1"/>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0.0607</w:t>
            </w:r>
          </w:p>
        </w:tc>
        <w:tc>
          <w:tcPr>
            <w:cnfStyle w:val="000010000000"/>
            <w:tcW w:w="830" w:type="dxa"/>
            <w:tcBorders>
              <w:top w:val="single" w:sz="4" w:space="0" w:color="000000" w:themeColor="text1"/>
            </w:tcBorders>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-0.1839</w:t>
            </w:r>
          </w:p>
        </w:tc>
        <w:tc>
          <w:tcPr>
            <w:tcW w:w="567" w:type="dxa"/>
            <w:tcBorders>
              <w:top w:val="single" w:sz="4" w:space="0" w:color="000000" w:themeColor="text1"/>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0.2243</w:t>
            </w:r>
          </w:p>
        </w:tc>
        <w:tc>
          <w:tcPr>
            <w:cnfStyle w:val="000010000000"/>
            <w:tcW w:w="709" w:type="dxa"/>
            <w:tcBorders>
              <w:top w:val="single" w:sz="4" w:space="0" w:color="000000" w:themeColor="text1"/>
            </w:tcBorders>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-0.0005</w:t>
            </w:r>
          </w:p>
        </w:tc>
        <w:tc>
          <w:tcPr>
            <w:tcW w:w="665" w:type="dxa"/>
            <w:tcBorders>
              <w:top w:val="single" w:sz="4" w:space="0" w:color="000000" w:themeColor="text1"/>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-0.1384</w:t>
            </w:r>
          </w:p>
        </w:tc>
        <w:tc>
          <w:tcPr>
            <w:cnfStyle w:val="000010000000"/>
            <w:tcW w:w="504" w:type="dxa"/>
            <w:tcBorders>
              <w:top w:val="single" w:sz="4" w:space="0" w:color="000000" w:themeColor="text1"/>
            </w:tcBorders>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-0.0451</w:t>
            </w:r>
          </w:p>
        </w:tc>
        <w:tc>
          <w:tcPr>
            <w:tcW w:w="616" w:type="dxa"/>
            <w:tcBorders>
              <w:top w:val="single" w:sz="4" w:space="0" w:color="000000" w:themeColor="text1"/>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0.2309</w:t>
            </w:r>
          </w:p>
        </w:tc>
        <w:tc>
          <w:tcPr>
            <w:cnfStyle w:val="000010000000"/>
            <w:tcW w:w="483" w:type="dxa"/>
            <w:tcBorders>
              <w:top w:val="single" w:sz="4" w:space="0" w:color="000000" w:themeColor="text1"/>
            </w:tcBorders>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-0.0636</w:t>
            </w:r>
          </w:p>
        </w:tc>
        <w:tc>
          <w:tcPr>
            <w:tcW w:w="992" w:type="dxa"/>
            <w:tcBorders>
              <w:top w:val="single" w:sz="4" w:space="0" w:color="000000" w:themeColor="text1"/>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lang w:eastAsia="zh-CN"/>
              </w:rPr>
            </w:pPr>
            <w:r w:rsidRPr="005D74B9">
              <w:rPr>
                <w:rFonts w:eastAsiaTheme="minorEastAsia"/>
                <w:sz w:val="13"/>
                <w:szCs w:val="13"/>
              </w:rPr>
              <w:t>-0.095</w:t>
            </w:r>
            <w:r w:rsidR="00FD3DF3">
              <w:rPr>
                <w:rFonts w:eastAsiaTheme="minorEastAsia" w:hint="eastAsia"/>
                <w:sz w:val="13"/>
                <w:szCs w:val="13"/>
                <w:lang w:eastAsia="zh-CN"/>
              </w:rPr>
              <w:t>0</w:t>
            </w:r>
          </w:p>
        </w:tc>
        <w:tc>
          <w:tcPr>
            <w:cnfStyle w:val="000010000000"/>
            <w:tcW w:w="709" w:type="dxa"/>
            <w:tcBorders>
              <w:top w:val="single" w:sz="4" w:space="0" w:color="000000" w:themeColor="text1"/>
            </w:tcBorders>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-0.0297</w:t>
            </w:r>
          </w:p>
        </w:tc>
        <w:tc>
          <w:tcPr>
            <w:tcW w:w="850" w:type="dxa"/>
            <w:tcBorders>
              <w:top w:val="single" w:sz="4" w:space="0" w:color="000000" w:themeColor="text1"/>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-0.0444</w:t>
            </w:r>
          </w:p>
        </w:tc>
        <w:tc>
          <w:tcPr>
            <w:cnfStyle w:val="000010000000"/>
            <w:tcW w:w="479" w:type="dxa"/>
            <w:tcBorders>
              <w:top w:val="single" w:sz="4" w:space="0" w:color="000000" w:themeColor="text1"/>
            </w:tcBorders>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lang w:eastAsia="zh-CN"/>
              </w:rPr>
            </w:pPr>
            <w:r w:rsidRPr="005D74B9">
              <w:rPr>
                <w:rFonts w:eastAsiaTheme="minorEastAsia"/>
                <w:sz w:val="13"/>
                <w:szCs w:val="13"/>
              </w:rPr>
              <w:t>-0.022</w:t>
            </w:r>
            <w:r w:rsidR="00FD3DF3">
              <w:rPr>
                <w:rFonts w:eastAsiaTheme="minorEastAsia" w:hint="eastAsia"/>
                <w:sz w:val="13"/>
                <w:szCs w:val="13"/>
                <w:lang w:eastAsia="zh-CN"/>
              </w:rPr>
              <w:t>0</w:t>
            </w:r>
          </w:p>
        </w:tc>
        <w:tc>
          <w:tcPr>
            <w:tcW w:w="560" w:type="dxa"/>
            <w:tcBorders>
              <w:top w:val="single" w:sz="4" w:space="0" w:color="000000" w:themeColor="text1"/>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lang w:eastAsia="zh-CN"/>
              </w:rPr>
            </w:pPr>
            <w:r w:rsidRPr="005D74B9">
              <w:rPr>
                <w:rFonts w:eastAsiaTheme="minorEastAsia"/>
                <w:sz w:val="13"/>
                <w:szCs w:val="13"/>
              </w:rPr>
              <w:t>0.171</w:t>
            </w:r>
            <w:r w:rsidR="00FD3DF3">
              <w:rPr>
                <w:rFonts w:eastAsiaTheme="minorEastAsia" w:hint="eastAsia"/>
                <w:sz w:val="13"/>
                <w:szCs w:val="13"/>
                <w:lang w:eastAsia="zh-CN"/>
              </w:rPr>
              <w:t>0</w:t>
            </w:r>
          </w:p>
        </w:tc>
        <w:tc>
          <w:tcPr>
            <w:cnfStyle w:val="000010000000"/>
            <w:tcW w:w="804" w:type="dxa"/>
            <w:tcBorders>
              <w:top w:val="single" w:sz="4" w:space="0" w:color="000000" w:themeColor="text1"/>
            </w:tcBorders>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lang w:eastAsia="zh-CN"/>
              </w:rPr>
            </w:pPr>
            <w:r w:rsidRPr="005D74B9">
              <w:rPr>
                <w:rFonts w:eastAsiaTheme="minorEastAsia"/>
                <w:sz w:val="13"/>
                <w:szCs w:val="13"/>
              </w:rPr>
              <w:t>0.212</w:t>
            </w:r>
            <w:r w:rsidR="00FD3DF3">
              <w:rPr>
                <w:rFonts w:eastAsiaTheme="minorEastAsia" w:hint="eastAsia"/>
                <w:sz w:val="13"/>
                <w:szCs w:val="13"/>
                <w:lang w:eastAsia="zh-CN"/>
              </w:rPr>
              <w:t>0</w:t>
            </w:r>
          </w:p>
        </w:tc>
      </w:tr>
      <w:tr w:rsidR="00BC65FB" w:rsidRPr="00182065" w:rsidTr="00F55802">
        <w:trPr>
          <w:cnfStyle w:val="000000100000"/>
          <w:trHeight w:val="255"/>
          <w:jc w:val="center"/>
        </w:trPr>
        <w:tc>
          <w:tcPr>
            <w:cnfStyle w:val="000010000000"/>
            <w:tcW w:w="968" w:type="dxa"/>
            <w:shd w:val="clear" w:color="auto" w:fill="auto"/>
            <w:vAlign w:val="center"/>
          </w:tcPr>
          <w:p w:rsidR="00D51C66" w:rsidRPr="00F55802" w:rsidRDefault="00D51C66" w:rsidP="001F0251">
            <w:pPr>
              <w:adjustRightInd w:val="0"/>
              <w:snapToGrid w:val="0"/>
              <w:ind w:firstLineChars="0" w:firstLine="0"/>
              <w:rPr>
                <w:i/>
                <w:sz w:val="13"/>
                <w:szCs w:val="13"/>
              </w:rPr>
            </w:pPr>
            <w:r w:rsidRPr="003C75E4">
              <w:rPr>
                <w:sz w:val="13"/>
                <w:szCs w:val="13"/>
              </w:rPr>
              <w:t>ln</w:t>
            </w:r>
            <w:r w:rsidRPr="00F55802">
              <w:rPr>
                <w:i/>
                <w:sz w:val="13"/>
                <w:szCs w:val="13"/>
              </w:rPr>
              <w:t>_</w:t>
            </w:r>
            <w:r w:rsidR="00F55802" w:rsidRPr="00F55802">
              <w:rPr>
                <w:i/>
                <w:sz w:val="13"/>
                <w:szCs w:val="13"/>
              </w:rPr>
              <w:t>S</w:t>
            </w:r>
            <w:r w:rsidRPr="00F55802">
              <w:rPr>
                <w:i/>
                <w:sz w:val="13"/>
                <w:szCs w:val="13"/>
              </w:rPr>
              <w:t>ubsidiary</w:t>
            </w:r>
          </w:p>
        </w:tc>
        <w:tc>
          <w:tcPr>
            <w:tcW w:w="592"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-0.0416</w:t>
            </w:r>
          </w:p>
        </w:tc>
        <w:tc>
          <w:tcPr>
            <w:cnfStyle w:val="000010000000"/>
            <w:tcW w:w="76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1</w:t>
            </w:r>
          </w:p>
        </w:tc>
        <w:tc>
          <w:tcPr>
            <w:tcW w:w="56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-0.1912</w:t>
            </w:r>
          </w:p>
        </w:tc>
        <w:tc>
          <w:tcPr>
            <w:cnfStyle w:val="000010000000"/>
            <w:tcW w:w="476"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0.3117</w:t>
            </w:r>
          </w:p>
        </w:tc>
        <w:tc>
          <w:tcPr>
            <w:tcW w:w="63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0.4335</w:t>
            </w:r>
          </w:p>
        </w:tc>
        <w:tc>
          <w:tcPr>
            <w:cnfStyle w:val="000010000000"/>
            <w:tcW w:w="830"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-0.0778</w:t>
            </w:r>
          </w:p>
        </w:tc>
        <w:tc>
          <w:tcPr>
            <w:tcW w:w="567"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-0.1556</w:t>
            </w:r>
          </w:p>
        </w:tc>
        <w:tc>
          <w:tcPr>
            <w:cnfStyle w:val="000010000000"/>
            <w:tcW w:w="70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0.0122</w:t>
            </w:r>
          </w:p>
        </w:tc>
        <w:tc>
          <w:tcPr>
            <w:tcW w:w="665"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0.1956</w:t>
            </w:r>
          </w:p>
        </w:tc>
        <w:tc>
          <w:tcPr>
            <w:cnfStyle w:val="000010000000"/>
            <w:tcW w:w="50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-0.3537</w:t>
            </w:r>
          </w:p>
        </w:tc>
        <w:tc>
          <w:tcPr>
            <w:tcW w:w="616"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0.4957</w:t>
            </w:r>
          </w:p>
        </w:tc>
        <w:tc>
          <w:tcPr>
            <w:cnfStyle w:val="000010000000"/>
            <w:tcW w:w="483"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0.8729</w:t>
            </w:r>
          </w:p>
        </w:tc>
        <w:tc>
          <w:tcPr>
            <w:tcW w:w="992"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0.8684</w:t>
            </w:r>
          </w:p>
        </w:tc>
        <w:tc>
          <w:tcPr>
            <w:cnfStyle w:val="000010000000"/>
            <w:tcW w:w="70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-0.5398</w:t>
            </w:r>
          </w:p>
        </w:tc>
        <w:tc>
          <w:tcPr>
            <w:tcW w:w="85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-0.5078</w:t>
            </w:r>
          </w:p>
        </w:tc>
        <w:tc>
          <w:tcPr>
            <w:cnfStyle w:val="000010000000"/>
            <w:tcW w:w="47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-0.1858</w:t>
            </w:r>
          </w:p>
        </w:tc>
        <w:tc>
          <w:tcPr>
            <w:tcW w:w="56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-0.0223</w:t>
            </w:r>
          </w:p>
        </w:tc>
        <w:tc>
          <w:tcPr>
            <w:cnfStyle w:val="000010000000"/>
            <w:tcW w:w="80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-0.2645</w:t>
            </w:r>
          </w:p>
        </w:tc>
      </w:tr>
      <w:tr w:rsidR="00BC65FB" w:rsidRPr="00182065" w:rsidTr="00F55802">
        <w:trPr>
          <w:trHeight w:val="255"/>
          <w:jc w:val="center"/>
        </w:trPr>
        <w:tc>
          <w:tcPr>
            <w:cnfStyle w:val="000010000000"/>
            <w:tcW w:w="968" w:type="dxa"/>
            <w:shd w:val="clear" w:color="auto" w:fill="auto"/>
            <w:vAlign w:val="center"/>
          </w:tcPr>
          <w:p w:rsidR="00D51C66" w:rsidRPr="00F55802" w:rsidRDefault="00D51C66" w:rsidP="001F0251">
            <w:pPr>
              <w:adjustRightInd w:val="0"/>
              <w:snapToGrid w:val="0"/>
              <w:ind w:firstLineChars="0" w:firstLine="0"/>
              <w:rPr>
                <w:i/>
                <w:sz w:val="13"/>
                <w:szCs w:val="13"/>
                <w:lang w:eastAsia="zh-CN"/>
              </w:rPr>
            </w:pPr>
            <w:r w:rsidRPr="00F55802">
              <w:rPr>
                <w:i/>
                <w:sz w:val="13"/>
                <w:szCs w:val="13"/>
              </w:rPr>
              <w:t>Manufac</w:t>
            </w:r>
            <w:r w:rsidR="00F55802">
              <w:rPr>
                <w:rFonts w:hint="eastAsia"/>
                <w:i/>
                <w:sz w:val="13"/>
                <w:szCs w:val="13"/>
                <w:lang w:eastAsia="zh-CN"/>
              </w:rPr>
              <w:t>t</w:t>
            </w:r>
          </w:p>
        </w:tc>
        <w:tc>
          <w:tcPr>
            <w:tcW w:w="592"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-0.0278</w:t>
            </w:r>
          </w:p>
        </w:tc>
        <w:tc>
          <w:tcPr>
            <w:cnfStyle w:val="000010000000"/>
            <w:tcW w:w="76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-0.1466</w:t>
            </w:r>
          </w:p>
        </w:tc>
        <w:tc>
          <w:tcPr>
            <w:tcW w:w="56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1</w:t>
            </w:r>
          </w:p>
        </w:tc>
        <w:tc>
          <w:tcPr>
            <w:cnfStyle w:val="000010000000"/>
            <w:tcW w:w="476"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-0.3744</w:t>
            </w:r>
          </w:p>
        </w:tc>
        <w:tc>
          <w:tcPr>
            <w:tcW w:w="63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lang w:eastAsia="zh-CN"/>
              </w:rPr>
            </w:pPr>
            <w:r w:rsidRPr="005D74B9">
              <w:rPr>
                <w:rFonts w:eastAsiaTheme="minorEastAsia"/>
                <w:sz w:val="13"/>
                <w:szCs w:val="13"/>
              </w:rPr>
              <w:t>-0.03</w:t>
            </w:r>
            <w:r w:rsidR="00FD3DF3">
              <w:rPr>
                <w:rFonts w:eastAsiaTheme="minorEastAsia" w:hint="eastAsia"/>
                <w:sz w:val="13"/>
                <w:szCs w:val="13"/>
                <w:lang w:eastAsia="zh-CN"/>
              </w:rPr>
              <w:t>00</w:t>
            </w:r>
          </w:p>
        </w:tc>
        <w:tc>
          <w:tcPr>
            <w:cnfStyle w:val="000010000000"/>
            <w:tcW w:w="830"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lang w:eastAsia="zh-CN"/>
              </w:rPr>
            </w:pPr>
            <w:r w:rsidRPr="005D74B9">
              <w:rPr>
                <w:rFonts w:eastAsiaTheme="minorEastAsia"/>
                <w:sz w:val="13"/>
                <w:szCs w:val="13"/>
              </w:rPr>
              <w:t>0.121</w:t>
            </w:r>
            <w:r w:rsidR="00FD3DF3">
              <w:rPr>
                <w:rFonts w:eastAsiaTheme="minorEastAsia" w:hint="eastAsia"/>
                <w:sz w:val="13"/>
                <w:szCs w:val="13"/>
                <w:lang w:eastAsia="zh-CN"/>
              </w:rPr>
              <w:t>0</w:t>
            </w:r>
          </w:p>
        </w:tc>
        <w:tc>
          <w:tcPr>
            <w:tcW w:w="567"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-0.0515</w:t>
            </w:r>
          </w:p>
        </w:tc>
        <w:tc>
          <w:tcPr>
            <w:cnfStyle w:val="000010000000"/>
            <w:tcW w:w="70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lang w:eastAsia="zh-CN"/>
              </w:rPr>
            </w:pPr>
            <w:r w:rsidRPr="005D74B9">
              <w:rPr>
                <w:rFonts w:eastAsiaTheme="minorEastAsia"/>
                <w:sz w:val="13"/>
                <w:szCs w:val="13"/>
              </w:rPr>
              <w:t>0.347</w:t>
            </w:r>
            <w:r w:rsidR="00FD3DF3">
              <w:rPr>
                <w:rFonts w:eastAsiaTheme="minorEastAsia" w:hint="eastAsia"/>
                <w:sz w:val="13"/>
                <w:szCs w:val="13"/>
                <w:lang w:eastAsia="zh-CN"/>
              </w:rPr>
              <w:t>0</w:t>
            </w:r>
          </w:p>
        </w:tc>
        <w:tc>
          <w:tcPr>
            <w:tcW w:w="665"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-0.0111</w:t>
            </w:r>
          </w:p>
        </w:tc>
        <w:tc>
          <w:tcPr>
            <w:cnfStyle w:val="000010000000"/>
            <w:tcW w:w="50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0.3655</w:t>
            </w:r>
          </w:p>
        </w:tc>
        <w:tc>
          <w:tcPr>
            <w:tcW w:w="616"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-0.5182</w:t>
            </w:r>
          </w:p>
        </w:tc>
        <w:tc>
          <w:tcPr>
            <w:cnfStyle w:val="000010000000"/>
            <w:tcW w:w="483"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-0.3144</w:t>
            </w:r>
          </w:p>
        </w:tc>
        <w:tc>
          <w:tcPr>
            <w:tcW w:w="992"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-0.2196</w:t>
            </w:r>
          </w:p>
        </w:tc>
        <w:tc>
          <w:tcPr>
            <w:cnfStyle w:val="000010000000"/>
            <w:tcW w:w="70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0.2449</w:t>
            </w:r>
          </w:p>
        </w:tc>
        <w:tc>
          <w:tcPr>
            <w:tcW w:w="85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0.2986</w:t>
            </w:r>
          </w:p>
        </w:tc>
        <w:tc>
          <w:tcPr>
            <w:cnfStyle w:val="000010000000"/>
            <w:tcW w:w="47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0.1551</w:t>
            </w:r>
          </w:p>
        </w:tc>
        <w:tc>
          <w:tcPr>
            <w:tcW w:w="56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-0.0897</w:t>
            </w:r>
          </w:p>
        </w:tc>
        <w:tc>
          <w:tcPr>
            <w:cnfStyle w:val="000010000000"/>
            <w:tcW w:w="80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-0.0805</w:t>
            </w:r>
          </w:p>
        </w:tc>
      </w:tr>
      <w:tr w:rsidR="00BC65FB" w:rsidRPr="00182065" w:rsidTr="00F55802">
        <w:trPr>
          <w:cnfStyle w:val="000000100000"/>
          <w:trHeight w:val="255"/>
          <w:jc w:val="center"/>
        </w:trPr>
        <w:tc>
          <w:tcPr>
            <w:cnfStyle w:val="000010000000"/>
            <w:tcW w:w="968" w:type="dxa"/>
            <w:shd w:val="clear" w:color="auto" w:fill="auto"/>
            <w:vAlign w:val="center"/>
          </w:tcPr>
          <w:p w:rsidR="00D51C66" w:rsidRPr="00F55802" w:rsidRDefault="00F55802" w:rsidP="001F0251">
            <w:pPr>
              <w:adjustRightInd w:val="0"/>
              <w:snapToGrid w:val="0"/>
              <w:ind w:firstLineChars="0" w:firstLine="0"/>
              <w:rPr>
                <w:i/>
                <w:sz w:val="13"/>
                <w:szCs w:val="13"/>
              </w:rPr>
            </w:pPr>
            <w:r w:rsidRPr="00F55802">
              <w:rPr>
                <w:i/>
                <w:sz w:val="13"/>
                <w:szCs w:val="13"/>
              </w:rPr>
              <w:t>ETR</w:t>
            </w:r>
          </w:p>
        </w:tc>
        <w:tc>
          <w:tcPr>
            <w:tcW w:w="592"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0.1759</w:t>
            </w:r>
          </w:p>
        </w:tc>
        <w:tc>
          <w:tcPr>
            <w:cnfStyle w:val="000010000000"/>
            <w:tcW w:w="76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0.2821</w:t>
            </w:r>
          </w:p>
        </w:tc>
        <w:tc>
          <w:tcPr>
            <w:tcW w:w="56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-0.3307</w:t>
            </w:r>
          </w:p>
        </w:tc>
        <w:tc>
          <w:tcPr>
            <w:cnfStyle w:val="000010000000"/>
            <w:tcW w:w="476"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1</w:t>
            </w:r>
          </w:p>
        </w:tc>
        <w:tc>
          <w:tcPr>
            <w:tcW w:w="63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0.5399</w:t>
            </w:r>
          </w:p>
        </w:tc>
        <w:tc>
          <w:tcPr>
            <w:cnfStyle w:val="000010000000"/>
            <w:tcW w:w="830"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-0.2971</w:t>
            </w:r>
          </w:p>
        </w:tc>
        <w:tc>
          <w:tcPr>
            <w:tcW w:w="567"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-0.0468</w:t>
            </w:r>
          </w:p>
        </w:tc>
        <w:tc>
          <w:tcPr>
            <w:cnfStyle w:val="000010000000"/>
            <w:tcW w:w="70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-0.6295</w:t>
            </w:r>
          </w:p>
        </w:tc>
        <w:tc>
          <w:tcPr>
            <w:tcW w:w="665"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-0.2916</w:t>
            </w:r>
          </w:p>
        </w:tc>
        <w:tc>
          <w:tcPr>
            <w:cnfStyle w:val="000010000000"/>
            <w:tcW w:w="50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-0.6027</w:t>
            </w:r>
          </w:p>
        </w:tc>
        <w:tc>
          <w:tcPr>
            <w:tcW w:w="616"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0.4531</w:t>
            </w:r>
          </w:p>
        </w:tc>
        <w:tc>
          <w:tcPr>
            <w:cnfStyle w:val="000010000000"/>
            <w:tcW w:w="483"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0.3981</w:t>
            </w:r>
          </w:p>
        </w:tc>
        <w:tc>
          <w:tcPr>
            <w:tcW w:w="992"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0.3077</w:t>
            </w:r>
          </w:p>
        </w:tc>
        <w:tc>
          <w:tcPr>
            <w:cnfStyle w:val="000010000000"/>
            <w:tcW w:w="70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-0.2148</w:t>
            </w:r>
          </w:p>
        </w:tc>
        <w:tc>
          <w:tcPr>
            <w:tcW w:w="85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-0.4207</w:t>
            </w:r>
          </w:p>
        </w:tc>
        <w:tc>
          <w:tcPr>
            <w:cnfStyle w:val="000010000000"/>
            <w:tcW w:w="47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-0.4494</w:t>
            </w:r>
          </w:p>
        </w:tc>
        <w:tc>
          <w:tcPr>
            <w:tcW w:w="56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-0.0681</w:t>
            </w:r>
          </w:p>
        </w:tc>
        <w:tc>
          <w:tcPr>
            <w:cnfStyle w:val="000010000000"/>
            <w:tcW w:w="80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0.1649</w:t>
            </w:r>
          </w:p>
        </w:tc>
      </w:tr>
      <w:tr w:rsidR="00BC65FB" w:rsidRPr="00182065" w:rsidTr="00F55802">
        <w:trPr>
          <w:trHeight w:val="255"/>
          <w:jc w:val="center"/>
        </w:trPr>
        <w:tc>
          <w:tcPr>
            <w:cnfStyle w:val="000010000000"/>
            <w:tcW w:w="968" w:type="dxa"/>
            <w:shd w:val="clear" w:color="auto" w:fill="auto"/>
            <w:vAlign w:val="center"/>
          </w:tcPr>
          <w:p w:rsidR="00D51C66" w:rsidRPr="00F55802" w:rsidRDefault="00D51C66" w:rsidP="001F0251">
            <w:pPr>
              <w:adjustRightInd w:val="0"/>
              <w:snapToGrid w:val="0"/>
              <w:ind w:firstLineChars="0" w:firstLine="0"/>
              <w:rPr>
                <w:i/>
                <w:sz w:val="13"/>
                <w:szCs w:val="13"/>
              </w:rPr>
            </w:pPr>
            <w:r w:rsidRPr="00F55802">
              <w:rPr>
                <w:i/>
                <w:sz w:val="13"/>
                <w:szCs w:val="13"/>
              </w:rPr>
              <w:t>Cash_ETR</w:t>
            </w:r>
          </w:p>
        </w:tc>
        <w:tc>
          <w:tcPr>
            <w:tcW w:w="592"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0.0227</w:t>
            </w:r>
          </w:p>
        </w:tc>
        <w:tc>
          <w:tcPr>
            <w:cnfStyle w:val="000010000000"/>
            <w:tcW w:w="76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lang w:eastAsia="zh-CN"/>
              </w:rPr>
            </w:pPr>
            <w:r w:rsidRPr="005D74B9">
              <w:rPr>
                <w:rFonts w:eastAsiaTheme="minorEastAsia"/>
                <w:sz w:val="13"/>
                <w:szCs w:val="13"/>
              </w:rPr>
              <w:t>0.442</w:t>
            </w:r>
            <w:r w:rsidR="00FD3DF3">
              <w:rPr>
                <w:rFonts w:eastAsiaTheme="minorEastAsia" w:hint="eastAsia"/>
                <w:sz w:val="13"/>
                <w:szCs w:val="13"/>
                <w:lang w:eastAsia="zh-CN"/>
              </w:rPr>
              <w:t>0</w:t>
            </w:r>
          </w:p>
        </w:tc>
        <w:tc>
          <w:tcPr>
            <w:tcW w:w="56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0.0511</w:t>
            </w:r>
          </w:p>
        </w:tc>
        <w:tc>
          <w:tcPr>
            <w:cnfStyle w:val="000010000000"/>
            <w:tcW w:w="476"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0.5386</w:t>
            </w:r>
          </w:p>
        </w:tc>
        <w:tc>
          <w:tcPr>
            <w:tcW w:w="63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1</w:t>
            </w:r>
          </w:p>
        </w:tc>
        <w:tc>
          <w:tcPr>
            <w:cnfStyle w:val="000010000000"/>
            <w:tcW w:w="830"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-0.3395</w:t>
            </w:r>
          </w:p>
        </w:tc>
        <w:tc>
          <w:tcPr>
            <w:tcW w:w="567"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lang w:eastAsia="zh-CN"/>
              </w:rPr>
            </w:pPr>
            <w:r w:rsidRPr="005D74B9">
              <w:rPr>
                <w:rFonts w:eastAsiaTheme="minorEastAsia"/>
                <w:sz w:val="13"/>
                <w:szCs w:val="13"/>
              </w:rPr>
              <w:t>-0.15</w:t>
            </w:r>
            <w:r w:rsidR="00FD3DF3">
              <w:rPr>
                <w:rFonts w:eastAsiaTheme="minorEastAsia" w:hint="eastAsia"/>
                <w:sz w:val="13"/>
                <w:szCs w:val="13"/>
                <w:lang w:eastAsia="zh-CN"/>
              </w:rPr>
              <w:t>00</w:t>
            </w:r>
          </w:p>
        </w:tc>
        <w:tc>
          <w:tcPr>
            <w:cnfStyle w:val="000010000000"/>
            <w:tcW w:w="70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-0.3326</w:t>
            </w:r>
          </w:p>
        </w:tc>
        <w:tc>
          <w:tcPr>
            <w:tcW w:w="665"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lang w:eastAsia="zh-CN"/>
              </w:rPr>
            </w:pPr>
            <w:r w:rsidRPr="005D74B9">
              <w:rPr>
                <w:rFonts w:eastAsiaTheme="minorEastAsia"/>
                <w:sz w:val="13"/>
                <w:szCs w:val="13"/>
              </w:rPr>
              <w:t>-0.232</w:t>
            </w:r>
            <w:r w:rsidR="00FD3DF3">
              <w:rPr>
                <w:rFonts w:eastAsiaTheme="minorEastAsia" w:hint="eastAsia"/>
                <w:sz w:val="13"/>
                <w:szCs w:val="13"/>
                <w:lang w:eastAsia="zh-CN"/>
              </w:rPr>
              <w:t>0</w:t>
            </w:r>
          </w:p>
        </w:tc>
        <w:tc>
          <w:tcPr>
            <w:cnfStyle w:val="000010000000"/>
            <w:tcW w:w="50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lang w:eastAsia="zh-CN"/>
              </w:rPr>
            </w:pPr>
            <w:r w:rsidRPr="005D74B9">
              <w:rPr>
                <w:rFonts w:eastAsiaTheme="minorEastAsia"/>
                <w:sz w:val="13"/>
                <w:szCs w:val="13"/>
              </w:rPr>
              <w:t>-0.328</w:t>
            </w:r>
            <w:r w:rsidR="00FD3DF3">
              <w:rPr>
                <w:rFonts w:eastAsiaTheme="minorEastAsia" w:hint="eastAsia"/>
                <w:sz w:val="13"/>
                <w:szCs w:val="13"/>
                <w:lang w:eastAsia="zh-CN"/>
              </w:rPr>
              <w:t>0</w:t>
            </w:r>
          </w:p>
        </w:tc>
        <w:tc>
          <w:tcPr>
            <w:tcW w:w="616"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0.2055</w:t>
            </w:r>
          </w:p>
        </w:tc>
        <w:tc>
          <w:tcPr>
            <w:cnfStyle w:val="000010000000"/>
            <w:tcW w:w="483"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0.5071</w:t>
            </w:r>
          </w:p>
        </w:tc>
        <w:tc>
          <w:tcPr>
            <w:tcW w:w="992"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0.4148</w:t>
            </w:r>
          </w:p>
        </w:tc>
        <w:tc>
          <w:tcPr>
            <w:cnfStyle w:val="000010000000"/>
            <w:tcW w:w="70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-0.1614</w:t>
            </w:r>
          </w:p>
        </w:tc>
        <w:tc>
          <w:tcPr>
            <w:tcW w:w="85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-0.4075</w:t>
            </w:r>
          </w:p>
        </w:tc>
        <w:tc>
          <w:tcPr>
            <w:cnfStyle w:val="000010000000"/>
            <w:tcW w:w="47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-0.3895</w:t>
            </w:r>
          </w:p>
        </w:tc>
        <w:tc>
          <w:tcPr>
            <w:tcW w:w="56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-0.1265</w:t>
            </w:r>
          </w:p>
        </w:tc>
        <w:tc>
          <w:tcPr>
            <w:cnfStyle w:val="000010000000"/>
            <w:tcW w:w="80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0.1408</w:t>
            </w:r>
          </w:p>
        </w:tc>
      </w:tr>
      <w:tr w:rsidR="00B41D88" w:rsidRPr="00182065" w:rsidTr="00F55802">
        <w:trPr>
          <w:cnfStyle w:val="000000100000"/>
          <w:trHeight w:val="255"/>
          <w:jc w:val="center"/>
        </w:trPr>
        <w:tc>
          <w:tcPr>
            <w:cnfStyle w:val="000010000000"/>
            <w:tcW w:w="968" w:type="dxa"/>
            <w:shd w:val="clear" w:color="auto" w:fill="auto"/>
            <w:vAlign w:val="center"/>
          </w:tcPr>
          <w:p w:rsidR="00D51C66" w:rsidRPr="00F55802" w:rsidRDefault="00D51C66" w:rsidP="001F0251">
            <w:pPr>
              <w:adjustRightInd w:val="0"/>
              <w:snapToGrid w:val="0"/>
              <w:ind w:firstLineChars="0" w:firstLine="0"/>
              <w:rPr>
                <w:i/>
                <w:sz w:val="13"/>
                <w:szCs w:val="13"/>
              </w:rPr>
            </w:pPr>
            <w:r w:rsidRPr="00F55802">
              <w:rPr>
                <w:i/>
                <w:sz w:val="13"/>
                <w:szCs w:val="13"/>
              </w:rPr>
              <w:t>Loss_dummy</w:t>
            </w:r>
          </w:p>
        </w:tc>
        <w:tc>
          <w:tcPr>
            <w:tcW w:w="592" w:type="dxa"/>
            <w:tcBorders>
              <w:bottom w:val="nil"/>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-0.1159</w:t>
            </w:r>
          </w:p>
        </w:tc>
        <w:tc>
          <w:tcPr>
            <w:cnfStyle w:val="000010000000"/>
            <w:tcW w:w="76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-0.0512</w:t>
            </w:r>
          </w:p>
        </w:tc>
        <w:tc>
          <w:tcPr>
            <w:tcW w:w="560" w:type="dxa"/>
            <w:tcBorders>
              <w:bottom w:val="nil"/>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lang w:eastAsia="zh-CN"/>
              </w:rPr>
            </w:pPr>
            <w:r w:rsidRPr="005D74B9">
              <w:rPr>
                <w:rFonts w:eastAsiaTheme="minorEastAsia"/>
                <w:sz w:val="13"/>
                <w:szCs w:val="13"/>
              </w:rPr>
              <w:t>0.121</w:t>
            </w:r>
            <w:r w:rsidR="00FD3DF3">
              <w:rPr>
                <w:rFonts w:eastAsiaTheme="minorEastAsia" w:hint="eastAsia"/>
                <w:sz w:val="13"/>
                <w:szCs w:val="13"/>
                <w:lang w:eastAsia="zh-CN"/>
              </w:rPr>
              <w:t>0</w:t>
            </w:r>
          </w:p>
        </w:tc>
        <w:tc>
          <w:tcPr>
            <w:cnfStyle w:val="000010000000"/>
            <w:tcW w:w="476"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lang w:eastAsia="zh-CN"/>
              </w:rPr>
            </w:pPr>
            <w:r w:rsidRPr="005D74B9">
              <w:rPr>
                <w:rFonts w:eastAsiaTheme="minorEastAsia"/>
                <w:sz w:val="13"/>
                <w:szCs w:val="13"/>
              </w:rPr>
              <w:t>-0.421</w:t>
            </w:r>
            <w:r w:rsidR="00FD3DF3">
              <w:rPr>
                <w:rFonts w:eastAsiaTheme="minorEastAsia" w:hint="eastAsia"/>
                <w:sz w:val="13"/>
                <w:szCs w:val="13"/>
                <w:lang w:eastAsia="zh-CN"/>
              </w:rPr>
              <w:t>0</w:t>
            </w:r>
          </w:p>
        </w:tc>
        <w:tc>
          <w:tcPr>
            <w:tcW w:w="630" w:type="dxa"/>
            <w:tcBorders>
              <w:bottom w:val="nil"/>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-0.4878</w:t>
            </w:r>
          </w:p>
        </w:tc>
        <w:tc>
          <w:tcPr>
            <w:cnfStyle w:val="000010000000"/>
            <w:tcW w:w="830"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1</w:t>
            </w:r>
          </w:p>
        </w:tc>
        <w:tc>
          <w:tcPr>
            <w:tcW w:w="567" w:type="dxa"/>
            <w:tcBorders>
              <w:bottom w:val="nil"/>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lang w:eastAsia="zh-CN"/>
              </w:rPr>
            </w:pPr>
            <w:r w:rsidRPr="005D74B9">
              <w:rPr>
                <w:rFonts w:eastAsiaTheme="minorEastAsia"/>
                <w:sz w:val="13"/>
                <w:szCs w:val="13"/>
              </w:rPr>
              <w:t>-0.201</w:t>
            </w:r>
            <w:r w:rsidR="00FD3DF3">
              <w:rPr>
                <w:rFonts w:eastAsiaTheme="minorEastAsia" w:hint="eastAsia"/>
                <w:sz w:val="13"/>
                <w:szCs w:val="13"/>
                <w:lang w:eastAsia="zh-CN"/>
              </w:rPr>
              <w:t>0</w:t>
            </w:r>
          </w:p>
        </w:tc>
        <w:tc>
          <w:tcPr>
            <w:cnfStyle w:val="000010000000"/>
            <w:tcW w:w="70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0.0638</w:t>
            </w:r>
          </w:p>
        </w:tc>
        <w:tc>
          <w:tcPr>
            <w:tcW w:w="665" w:type="dxa"/>
            <w:tcBorders>
              <w:bottom w:val="nil"/>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-0.0708</w:t>
            </w:r>
          </w:p>
        </w:tc>
        <w:tc>
          <w:tcPr>
            <w:cnfStyle w:val="000010000000"/>
            <w:tcW w:w="50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lang w:eastAsia="zh-CN"/>
              </w:rPr>
            </w:pPr>
            <w:r w:rsidRPr="005D74B9">
              <w:rPr>
                <w:rFonts w:eastAsiaTheme="minorEastAsia"/>
                <w:sz w:val="13"/>
                <w:szCs w:val="13"/>
              </w:rPr>
              <w:t>0</w:t>
            </w:r>
            <w:r w:rsidR="00FD3DF3">
              <w:rPr>
                <w:rFonts w:eastAsiaTheme="minorEastAsia" w:hint="eastAsia"/>
                <w:sz w:val="13"/>
                <w:szCs w:val="13"/>
                <w:lang w:eastAsia="zh-CN"/>
              </w:rPr>
              <w:t>.0000</w:t>
            </w:r>
          </w:p>
        </w:tc>
        <w:tc>
          <w:tcPr>
            <w:tcW w:w="616" w:type="dxa"/>
            <w:tcBorders>
              <w:bottom w:val="nil"/>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0.0778</w:t>
            </w:r>
          </w:p>
        </w:tc>
        <w:tc>
          <w:tcPr>
            <w:cnfStyle w:val="000010000000"/>
            <w:tcW w:w="483"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-0.1273</w:t>
            </w:r>
          </w:p>
        </w:tc>
        <w:tc>
          <w:tcPr>
            <w:tcW w:w="992" w:type="dxa"/>
            <w:tcBorders>
              <w:bottom w:val="nil"/>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-0.0566</w:t>
            </w:r>
          </w:p>
        </w:tc>
        <w:tc>
          <w:tcPr>
            <w:cnfStyle w:val="000010000000"/>
            <w:tcW w:w="70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-0.1273</w:t>
            </w:r>
          </w:p>
        </w:tc>
        <w:tc>
          <w:tcPr>
            <w:tcW w:w="850" w:type="dxa"/>
            <w:tcBorders>
              <w:bottom w:val="nil"/>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-0.1698</w:t>
            </w:r>
          </w:p>
        </w:tc>
        <w:tc>
          <w:tcPr>
            <w:cnfStyle w:val="000010000000"/>
            <w:tcW w:w="47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0.0824</w:t>
            </w:r>
          </w:p>
        </w:tc>
        <w:tc>
          <w:tcPr>
            <w:tcW w:w="560" w:type="dxa"/>
            <w:tcBorders>
              <w:bottom w:val="nil"/>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-0.2212</w:t>
            </w:r>
          </w:p>
        </w:tc>
        <w:tc>
          <w:tcPr>
            <w:cnfStyle w:val="000010000000"/>
            <w:tcW w:w="80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-0.1424</w:t>
            </w:r>
          </w:p>
        </w:tc>
      </w:tr>
      <w:tr w:rsidR="0026344E" w:rsidRPr="00182065" w:rsidTr="00F55802">
        <w:trPr>
          <w:trHeight w:val="255"/>
          <w:jc w:val="center"/>
        </w:trPr>
        <w:tc>
          <w:tcPr>
            <w:cnfStyle w:val="000010000000"/>
            <w:tcW w:w="968" w:type="dxa"/>
            <w:tcBorders>
              <w:top w:val="nil"/>
            </w:tcBorders>
            <w:shd w:val="clear" w:color="auto" w:fill="auto"/>
            <w:vAlign w:val="center"/>
          </w:tcPr>
          <w:p w:rsidR="00D51C66" w:rsidRPr="00F55802" w:rsidRDefault="00D51C66" w:rsidP="001F0251">
            <w:pPr>
              <w:adjustRightInd w:val="0"/>
              <w:snapToGrid w:val="0"/>
              <w:ind w:firstLineChars="0" w:firstLine="0"/>
              <w:rPr>
                <w:i/>
                <w:sz w:val="13"/>
                <w:szCs w:val="13"/>
              </w:rPr>
            </w:pPr>
            <w:r w:rsidRPr="00F55802">
              <w:rPr>
                <w:i/>
                <w:sz w:val="13"/>
                <w:szCs w:val="13"/>
              </w:rPr>
              <w:t>Advertise</w:t>
            </w:r>
          </w:p>
        </w:tc>
        <w:tc>
          <w:tcPr>
            <w:tcW w:w="592" w:type="dxa"/>
            <w:tcBorders>
              <w:top w:val="nil"/>
              <w:bottom w:val="nil"/>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0.3107</w:t>
            </w:r>
          </w:p>
        </w:tc>
        <w:tc>
          <w:tcPr>
            <w:cnfStyle w:val="000010000000"/>
            <w:tcW w:w="764" w:type="dxa"/>
            <w:tcBorders>
              <w:top w:val="nil"/>
            </w:tcBorders>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-0.2447</w:t>
            </w:r>
          </w:p>
        </w:tc>
        <w:tc>
          <w:tcPr>
            <w:tcW w:w="560" w:type="dxa"/>
            <w:tcBorders>
              <w:top w:val="nil"/>
              <w:bottom w:val="nil"/>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-0.1139</w:t>
            </w:r>
          </w:p>
        </w:tc>
        <w:tc>
          <w:tcPr>
            <w:cnfStyle w:val="000010000000"/>
            <w:tcW w:w="476" w:type="dxa"/>
            <w:tcBorders>
              <w:top w:val="nil"/>
            </w:tcBorders>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-0.0093</w:t>
            </w:r>
          </w:p>
        </w:tc>
        <w:tc>
          <w:tcPr>
            <w:tcW w:w="630" w:type="dxa"/>
            <w:tcBorders>
              <w:top w:val="nil"/>
              <w:bottom w:val="nil"/>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-0.1149</w:t>
            </w:r>
          </w:p>
        </w:tc>
        <w:tc>
          <w:tcPr>
            <w:cnfStyle w:val="000010000000"/>
            <w:tcW w:w="830" w:type="dxa"/>
            <w:tcBorders>
              <w:top w:val="nil"/>
            </w:tcBorders>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-0.1174</w:t>
            </w:r>
          </w:p>
        </w:tc>
        <w:tc>
          <w:tcPr>
            <w:tcW w:w="567" w:type="dxa"/>
            <w:tcBorders>
              <w:top w:val="nil"/>
              <w:bottom w:val="nil"/>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1</w:t>
            </w:r>
          </w:p>
        </w:tc>
        <w:tc>
          <w:tcPr>
            <w:cnfStyle w:val="000010000000"/>
            <w:tcW w:w="709" w:type="dxa"/>
            <w:tcBorders>
              <w:top w:val="nil"/>
            </w:tcBorders>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0.1358</w:t>
            </w:r>
          </w:p>
        </w:tc>
        <w:tc>
          <w:tcPr>
            <w:tcW w:w="665" w:type="dxa"/>
            <w:tcBorders>
              <w:top w:val="nil"/>
              <w:bottom w:val="nil"/>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0.3043</w:t>
            </w:r>
          </w:p>
        </w:tc>
        <w:tc>
          <w:tcPr>
            <w:cnfStyle w:val="000010000000"/>
            <w:tcW w:w="504" w:type="dxa"/>
            <w:tcBorders>
              <w:top w:val="nil"/>
            </w:tcBorders>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lang w:eastAsia="zh-CN"/>
              </w:rPr>
            </w:pPr>
            <w:r w:rsidRPr="005D74B9">
              <w:rPr>
                <w:rFonts w:eastAsiaTheme="minorEastAsia"/>
                <w:sz w:val="13"/>
                <w:szCs w:val="13"/>
              </w:rPr>
              <w:t>0.315</w:t>
            </w:r>
            <w:r w:rsidR="00FD3DF3">
              <w:rPr>
                <w:rFonts w:eastAsiaTheme="minorEastAsia" w:hint="eastAsia"/>
                <w:sz w:val="13"/>
                <w:szCs w:val="13"/>
                <w:lang w:eastAsia="zh-CN"/>
              </w:rPr>
              <w:t>0</w:t>
            </w:r>
          </w:p>
        </w:tc>
        <w:tc>
          <w:tcPr>
            <w:tcW w:w="616" w:type="dxa"/>
            <w:tcBorders>
              <w:top w:val="nil"/>
              <w:bottom w:val="nil"/>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-0.1401</w:t>
            </w:r>
          </w:p>
        </w:tc>
        <w:tc>
          <w:tcPr>
            <w:cnfStyle w:val="000010000000"/>
            <w:tcW w:w="483" w:type="dxa"/>
            <w:tcBorders>
              <w:top w:val="nil"/>
            </w:tcBorders>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lang w:eastAsia="zh-CN"/>
              </w:rPr>
            </w:pPr>
            <w:r w:rsidRPr="005D74B9">
              <w:rPr>
                <w:rFonts w:eastAsiaTheme="minorEastAsia"/>
                <w:sz w:val="13"/>
                <w:szCs w:val="13"/>
              </w:rPr>
              <w:t>-0.167</w:t>
            </w:r>
            <w:r w:rsidR="00FD3DF3">
              <w:rPr>
                <w:rFonts w:eastAsiaTheme="minorEastAsia" w:hint="eastAsia"/>
                <w:sz w:val="13"/>
                <w:szCs w:val="13"/>
                <w:lang w:eastAsia="zh-CN"/>
              </w:rPr>
              <w:t>0</w:t>
            </w:r>
          </w:p>
        </w:tc>
        <w:tc>
          <w:tcPr>
            <w:tcW w:w="992" w:type="dxa"/>
            <w:tcBorders>
              <w:top w:val="nil"/>
              <w:bottom w:val="nil"/>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-0.2478</w:t>
            </w:r>
          </w:p>
        </w:tc>
        <w:tc>
          <w:tcPr>
            <w:cnfStyle w:val="000010000000"/>
            <w:tcW w:w="709" w:type="dxa"/>
            <w:tcBorders>
              <w:top w:val="nil"/>
            </w:tcBorders>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0.0944</w:t>
            </w:r>
          </w:p>
        </w:tc>
        <w:tc>
          <w:tcPr>
            <w:tcW w:w="850" w:type="dxa"/>
            <w:tcBorders>
              <w:top w:val="nil"/>
              <w:bottom w:val="nil"/>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0.2873</w:t>
            </w:r>
          </w:p>
        </w:tc>
        <w:tc>
          <w:tcPr>
            <w:cnfStyle w:val="000010000000"/>
            <w:tcW w:w="479" w:type="dxa"/>
            <w:tcBorders>
              <w:top w:val="nil"/>
            </w:tcBorders>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0.1703</w:t>
            </w:r>
          </w:p>
        </w:tc>
        <w:tc>
          <w:tcPr>
            <w:tcW w:w="560" w:type="dxa"/>
            <w:tcBorders>
              <w:top w:val="nil"/>
              <w:bottom w:val="nil"/>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0.9088</w:t>
            </w:r>
          </w:p>
        </w:tc>
        <w:tc>
          <w:tcPr>
            <w:cnfStyle w:val="000010000000"/>
            <w:tcW w:w="804" w:type="dxa"/>
            <w:tcBorders>
              <w:top w:val="nil"/>
            </w:tcBorders>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0.2064</w:t>
            </w:r>
          </w:p>
        </w:tc>
      </w:tr>
      <w:tr w:rsidR="00BC65FB" w:rsidRPr="00182065" w:rsidTr="00F55802">
        <w:trPr>
          <w:cnfStyle w:val="000000100000"/>
          <w:trHeight w:val="255"/>
          <w:jc w:val="center"/>
        </w:trPr>
        <w:tc>
          <w:tcPr>
            <w:cnfStyle w:val="000010000000"/>
            <w:tcW w:w="968" w:type="dxa"/>
            <w:tcBorders>
              <w:top w:val="nil"/>
            </w:tcBorders>
            <w:shd w:val="clear" w:color="auto" w:fill="auto"/>
            <w:vAlign w:val="center"/>
          </w:tcPr>
          <w:p w:rsidR="00D51C66" w:rsidRPr="00F55802" w:rsidRDefault="00D51C66" w:rsidP="001F0251">
            <w:pPr>
              <w:adjustRightInd w:val="0"/>
              <w:snapToGrid w:val="0"/>
              <w:ind w:firstLineChars="0" w:firstLine="0"/>
              <w:rPr>
                <w:i/>
                <w:sz w:val="13"/>
                <w:szCs w:val="13"/>
              </w:rPr>
            </w:pPr>
            <w:r w:rsidRPr="00F55802">
              <w:rPr>
                <w:i/>
                <w:sz w:val="13"/>
                <w:szCs w:val="13"/>
              </w:rPr>
              <w:t>Foreignsales</w:t>
            </w:r>
          </w:p>
        </w:tc>
        <w:tc>
          <w:tcPr>
            <w:tcW w:w="592" w:type="dxa"/>
            <w:tcBorders>
              <w:top w:val="nil"/>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0.1264</w:t>
            </w:r>
          </w:p>
        </w:tc>
        <w:tc>
          <w:tcPr>
            <w:cnfStyle w:val="000010000000"/>
            <w:tcW w:w="764" w:type="dxa"/>
            <w:tcBorders>
              <w:top w:val="nil"/>
            </w:tcBorders>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-0.0351</w:t>
            </w:r>
          </w:p>
        </w:tc>
        <w:tc>
          <w:tcPr>
            <w:tcW w:w="560" w:type="dxa"/>
            <w:tcBorders>
              <w:top w:val="nil"/>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0.3318</w:t>
            </w:r>
          </w:p>
        </w:tc>
        <w:tc>
          <w:tcPr>
            <w:cnfStyle w:val="000010000000"/>
            <w:tcW w:w="476" w:type="dxa"/>
            <w:tcBorders>
              <w:top w:val="nil"/>
            </w:tcBorders>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-0.5394</w:t>
            </w:r>
          </w:p>
        </w:tc>
        <w:tc>
          <w:tcPr>
            <w:tcW w:w="630" w:type="dxa"/>
            <w:tcBorders>
              <w:top w:val="nil"/>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-0.3343</w:t>
            </w:r>
          </w:p>
        </w:tc>
        <w:tc>
          <w:tcPr>
            <w:cnfStyle w:val="000010000000"/>
            <w:tcW w:w="830" w:type="dxa"/>
            <w:tcBorders>
              <w:top w:val="nil"/>
            </w:tcBorders>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0.0691</w:t>
            </w:r>
          </w:p>
        </w:tc>
        <w:tc>
          <w:tcPr>
            <w:tcW w:w="567" w:type="dxa"/>
            <w:tcBorders>
              <w:top w:val="nil"/>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lang w:eastAsia="zh-CN"/>
              </w:rPr>
            </w:pPr>
            <w:r w:rsidRPr="005D74B9">
              <w:rPr>
                <w:rFonts w:eastAsiaTheme="minorEastAsia"/>
                <w:sz w:val="13"/>
                <w:szCs w:val="13"/>
              </w:rPr>
              <w:t>0.11</w:t>
            </w:r>
            <w:r w:rsidR="00FD3DF3">
              <w:rPr>
                <w:rFonts w:eastAsiaTheme="minorEastAsia" w:hint="eastAsia"/>
                <w:sz w:val="13"/>
                <w:szCs w:val="13"/>
                <w:lang w:eastAsia="zh-CN"/>
              </w:rPr>
              <w:t>00</w:t>
            </w:r>
          </w:p>
        </w:tc>
        <w:tc>
          <w:tcPr>
            <w:cnfStyle w:val="000010000000"/>
            <w:tcW w:w="709" w:type="dxa"/>
            <w:tcBorders>
              <w:top w:val="nil"/>
            </w:tcBorders>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1</w:t>
            </w:r>
          </w:p>
        </w:tc>
        <w:tc>
          <w:tcPr>
            <w:tcW w:w="665" w:type="dxa"/>
            <w:tcBorders>
              <w:top w:val="nil"/>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0.3934</w:t>
            </w:r>
          </w:p>
        </w:tc>
        <w:tc>
          <w:tcPr>
            <w:cnfStyle w:val="000010000000"/>
            <w:tcW w:w="504" w:type="dxa"/>
            <w:tcBorders>
              <w:top w:val="nil"/>
            </w:tcBorders>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0.4717</w:t>
            </w:r>
          </w:p>
        </w:tc>
        <w:tc>
          <w:tcPr>
            <w:tcW w:w="616" w:type="dxa"/>
            <w:tcBorders>
              <w:top w:val="nil"/>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-0.3479</w:t>
            </w:r>
          </w:p>
        </w:tc>
        <w:tc>
          <w:tcPr>
            <w:cnfStyle w:val="000010000000"/>
            <w:tcW w:w="483" w:type="dxa"/>
            <w:tcBorders>
              <w:top w:val="nil"/>
            </w:tcBorders>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-0.0905</w:t>
            </w:r>
          </w:p>
        </w:tc>
        <w:tc>
          <w:tcPr>
            <w:tcW w:w="992" w:type="dxa"/>
            <w:tcBorders>
              <w:top w:val="nil"/>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-0.0447</w:t>
            </w:r>
          </w:p>
        </w:tc>
        <w:tc>
          <w:tcPr>
            <w:cnfStyle w:val="000010000000"/>
            <w:tcW w:w="709" w:type="dxa"/>
            <w:tcBorders>
              <w:top w:val="nil"/>
            </w:tcBorders>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0.0796</w:t>
            </w:r>
          </w:p>
        </w:tc>
        <w:tc>
          <w:tcPr>
            <w:tcW w:w="850" w:type="dxa"/>
            <w:tcBorders>
              <w:top w:val="nil"/>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0.4511</w:t>
            </w:r>
          </w:p>
        </w:tc>
        <w:tc>
          <w:tcPr>
            <w:cnfStyle w:val="000010000000"/>
            <w:tcW w:w="479" w:type="dxa"/>
            <w:tcBorders>
              <w:top w:val="nil"/>
            </w:tcBorders>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0.5748</w:t>
            </w:r>
          </w:p>
        </w:tc>
        <w:tc>
          <w:tcPr>
            <w:tcW w:w="560" w:type="dxa"/>
            <w:tcBorders>
              <w:top w:val="nil"/>
            </w:tcBorders>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0.0962</w:t>
            </w:r>
          </w:p>
        </w:tc>
        <w:tc>
          <w:tcPr>
            <w:cnfStyle w:val="000010000000"/>
            <w:tcW w:w="804" w:type="dxa"/>
            <w:tcBorders>
              <w:top w:val="nil"/>
            </w:tcBorders>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-0.2871</w:t>
            </w:r>
          </w:p>
        </w:tc>
      </w:tr>
      <w:tr w:rsidR="00BC65FB" w:rsidRPr="00182065" w:rsidTr="00F55802">
        <w:trPr>
          <w:trHeight w:val="255"/>
          <w:jc w:val="center"/>
        </w:trPr>
        <w:tc>
          <w:tcPr>
            <w:cnfStyle w:val="000010000000"/>
            <w:tcW w:w="968" w:type="dxa"/>
            <w:shd w:val="clear" w:color="auto" w:fill="auto"/>
            <w:vAlign w:val="center"/>
          </w:tcPr>
          <w:p w:rsidR="00D51C66" w:rsidRPr="00F55802" w:rsidRDefault="00D51C66" w:rsidP="001F0251">
            <w:pPr>
              <w:adjustRightInd w:val="0"/>
              <w:snapToGrid w:val="0"/>
              <w:ind w:firstLineChars="0" w:firstLine="0"/>
              <w:rPr>
                <w:i/>
                <w:sz w:val="13"/>
                <w:szCs w:val="13"/>
              </w:rPr>
            </w:pPr>
            <w:r w:rsidRPr="00F55802">
              <w:rPr>
                <w:i/>
                <w:sz w:val="13"/>
                <w:szCs w:val="13"/>
              </w:rPr>
              <w:t>Intangibles</w:t>
            </w:r>
          </w:p>
        </w:tc>
        <w:tc>
          <w:tcPr>
            <w:tcW w:w="592"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-0.1665</w:t>
            </w:r>
          </w:p>
        </w:tc>
        <w:tc>
          <w:tcPr>
            <w:cnfStyle w:val="000010000000"/>
            <w:tcW w:w="76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0.1376</w:t>
            </w:r>
          </w:p>
        </w:tc>
        <w:tc>
          <w:tcPr>
            <w:tcW w:w="56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0.1705</w:t>
            </w:r>
          </w:p>
        </w:tc>
        <w:tc>
          <w:tcPr>
            <w:cnfStyle w:val="000010000000"/>
            <w:tcW w:w="476"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-0.1905</w:t>
            </w:r>
          </w:p>
        </w:tc>
        <w:tc>
          <w:tcPr>
            <w:tcW w:w="63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-0.1185</w:t>
            </w:r>
          </w:p>
        </w:tc>
        <w:tc>
          <w:tcPr>
            <w:cnfStyle w:val="000010000000"/>
            <w:tcW w:w="830"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-0.0805</w:t>
            </w:r>
          </w:p>
        </w:tc>
        <w:tc>
          <w:tcPr>
            <w:tcW w:w="567"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0.0991</w:t>
            </w:r>
          </w:p>
        </w:tc>
        <w:tc>
          <w:tcPr>
            <w:cnfStyle w:val="000010000000"/>
            <w:tcW w:w="70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0.2565</w:t>
            </w:r>
          </w:p>
        </w:tc>
        <w:tc>
          <w:tcPr>
            <w:tcW w:w="665"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1</w:t>
            </w:r>
          </w:p>
        </w:tc>
        <w:tc>
          <w:tcPr>
            <w:cnfStyle w:val="000010000000"/>
            <w:tcW w:w="50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0.2005</w:t>
            </w:r>
          </w:p>
        </w:tc>
        <w:tc>
          <w:tcPr>
            <w:tcW w:w="616"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-0.0399</w:t>
            </w:r>
          </w:p>
        </w:tc>
        <w:tc>
          <w:tcPr>
            <w:cnfStyle w:val="000010000000"/>
            <w:tcW w:w="483"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lang w:eastAsia="zh-CN"/>
              </w:rPr>
            </w:pPr>
            <w:r w:rsidRPr="005D74B9">
              <w:rPr>
                <w:rFonts w:eastAsiaTheme="minorEastAsia"/>
                <w:sz w:val="13"/>
                <w:szCs w:val="13"/>
              </w:rPr>
              <w:t>-0.027</w:t>
            </w:r>
            <w:r w:rsidR="00FD3DF3">
              <w:rPr>
                <w:rFonts w:eastAsiaTheme="minorEastAsia" w:hint="eastAsia"/>
                <w:sz w:val="13"/>
                <w:szCs w:val="13"/>
                <w:lang w:eastAsia="zh-CN"/>
              </w:rPr>
              <w:t>0</w:t>
            </w:r>
          </w:p>
        </w:tc>
        <w:tc>
          <w:tcPr>
            <w:tcW w:w="992"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-0.0806</w:t>
            </w:r>
          </w:p>
        </w:tc>
        <w:tc>
          <w:tcPr>
            <w:cnfStyle w:val="000010000000"/>
            <w:tcW w:w="70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-0.0808</w:t>
            </w:r>
          </w:p>
        </w:tc>
        <w:tc>
          <w:tcPr>
            <w:tcW w:w="85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0.0849</w:t>
            </w:r>
          </w:p>
        </w:tc>
        <w:tc>
          <w:tcPr>
            <w:cnfStyle w:val="000010000000"/>
            <w:tcW w:w="47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lang w:eastAsia="zh-CN"/>
              </w:rPr>
            </w:pPr>
            <w:r w:rsidRPr="005D74B9">
              <w:rPr>
                <w:rFonts w:eastAsiaTheme="minorEastAsia"/>
                <w:sz w:val="13"/>
                <w:szCs w:val="13"/>
              </w:rPr>
              <w:t>0.302</w:t>
            </w:r>
            <w:r w:rsidR="00FD3DF3">
              <w:rPr>
                <w:rFonts w:eastAsiaTheme="minorEastAsia" w:hint="eastAsia"/>
                <w:sz w:val="13"/>
                <w:szCs w:val="13"/>
                <w:lang w:eastAsia="zh-CN"/>
              </w:rPr>
              <w:t>0</w:t>
            </w:r>
          </w:p>
        </w:tc>
        <w:tc>
          <w:tcPr>
            <w:tcW w:w="56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0.4135</w:t>
            </w:r>
          </w:p>
        </w:tc>
        <w:tc>
          <w:tcPr>
            <w:cnfStyle w:val="000010000000"/>
            <w:tcW w:w="80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-0.0467</w:t>
            </w:r>
          </w:p>
        </w:tc>
      </w:tr>
      <w:tr w:rsidR="00BC65FB" w:rsidRPr="00182065" w:rsidTr="00F55802">
        <w:trPr>
          <w:cnfStyle w:val="000000100000"/>
          <w:trHeight w:val="255"/>
          <w:jc w:val="center"/>
        </w:trPr>
        <w:tc>
          <w:tcPr>
            <w:cnfStyle w:val="000010000000"/>
            <w:tcW w:w="968" w:type="dxa"/>
            <w:shd w:val="clear" w:color="auto" w:fill="auto"/>
            <w:vAlign w:val="center"/>
          </w:tcPr>
          <w:p w:rsidR="00D51C66" w:rsidRPr="00F55802" w:rsidRDefault="00D51C66" w:rsidP="001F0251">
            <w:pPr>
              <w:adjustRightInd w:val="0"/>
              <w:snapToGrid w:val="0"/>
              <w:ind w:firstLineChars="0" w:firstLine="0"/>
              <w:rPr>
                <w:i/>
                <w:sz w:val="13"/>
                <w:szCs w:val="13"/>
              </w:rPr>
            </w:pPr>
            <w:r w:rsidRPr="00F55802">
              <w:rPr>
                <w:i/>
                <w:sz w:val="13"/>
                <w:szCs w:val="13"/>
              </w:rPr>
              <w:t>Rd</w:t>
            </w:r>
          </w:p>
        </w:tc>
        <w:tc>
          <w:tcPr>
            <w:tcW w:w="592"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-0.0129</w:t>
            </w:r>
          </w:p>
        </w:tc>
        <w:tc>
          <w:tcPr>
            <w:cnfStyle w:val="000010000000"/>
            <w:tcW w:w="76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-0.4854</w:t>
            </w:r>
          </w:p>
        </w:tc>
        <w:tc>
          <w:tcPr>
            <w:tcW w:w="56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lang w:eastAsia="zh-CN"/>
              </w:rPr>
            </w:pPr>
            <w:r w:rsidRPr="005D74B9">
              <w:rPr>
                <w:rFonts w:eastAsiaTheme="minorEastAsia"/>
                <w:sz w:val="13"/>
                <w:szCs w:val="13"/>
              </w:rPr>
              <w:t>0.115</w:t>
            </w:r>
            <w:r w:rsidR="00FD3DF3">
              <w:rPr>
                <w:rFonts w:eastAsiaTheme="minorEastAsia" w:hint="eastAsia"/>
                <w:sz w:val="13"/>
                <w:szCs w:val="13"/>
                <w:lang w:eastAsia="zh-CN"/>
              </w:rPr>
              <w:t>0</w:t>
            </w:r>
          </w:p>
        </w:tc>
        <w:tc>
          <w:tcPr>
            <w:cnfStyle w:val="000010000000"/>
            <w:tcW w:w="476"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-0.3692</w:t>
            </w:r>
          </w:p>
        </w:tc>
        <w:tc>
          <w:tcPr>
            <w:tcW w:w="63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-0.3659</w:t>
            </w:r>
          </w:p>
        </w:tc>
        <w:tc>
          <w:tcPr>
            <w:cnfStyle w:val="000010000000"/>
            <w:tcW w:w="830"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-0.0297</w:t>
            </w:r>
          </w:p>
        </w:tc>
        <w:tc>
          <w:tcPr>
            <w:tcW w:w="567"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0.2538</w:t>
            </w:r>
          </w:p>
        </w:tc>
        <w:tc>
          <w:tcPr>
            <w:cnfStyle w:val="000010000000"/>
            <w:tcW w:w="70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0.2686</w:t>
            </w:r>
          </w:p>
        </w:tc>
        <w:tc>
          <w:tcPr>
            <w:tcW w:w="665"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0.0674</w:t>
            </w:r>
          </w:p>
        </w:tc>
        <w:tc>
          <w:tcPr>
            <w:cnfStyle w:val="000010000000"/>
            <w:tcW w:w="50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1</w:t>
            </w:r>
          </w:p>
        </w:tc>
        <w:tc>
          <w:tcPr>
            <w:tcW w:w="616"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-0.4725</w:t>
            </w:r>
          </w:p>
        </w:tc>
        <w:tc>
          <w:tcPr>
            <w:cnfStyle w:val="000010000000"/>
            <w:tcW w:w="483"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-0.4392</w:t>
            </w:r>
          </w:p>
        </w:tc>
        <w:tc>
          <w:tcPr>
            <w:tcW w:w="992"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-0.4645</w:t>
            </w:r>
          </w:p>
        </w:tc>
        <w:tc>
          <w:tcPr>
            <w:cnfStyle w:val="000010000000"/>
            <w:tcW w:w="70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0.4578</w:t>
            </w:r>
          </w:p>
        </w:tc>
        <w:tc>
          <w:tcPr>
            <w:tcW w:w="85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0.5819</w:t>
            </w:r>
          </w:p>
        </w:tc>
        <w:tc>
          <w:tcPr>
            <w:cnfStyle w:val="000010000000"/>
            <w:tcW w:w="47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0.6021</w:t>
            </w:r>
          </w:p>
        </w:tc>
        <w:tc>
          <w:tcPr>
            <w:tcW w:w="56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0.2548</w:t>
            </w:r>
          </w:p>
        </w:tc>
        <w:tc>
          <w:tcPr>
            <w:cnfStyle w:val="000010000000"/>
            <w:tcW w:w="80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0.0086</w:t>
            </w:r>
          </w:p>
        </w:tc>
      </w:tr>
      <w:tr w:rsidR="00BC65FB" w:rsidRPr="00182065" w:rsidTr="00F55802">
        <w:trPr>
          <w:trHeight w:val="255"/>
          <w:jc w:val="center"/>
        </w:trPr>
        <w:tc>
          <w:tcPr>
            <w:cnfStyle w:val="000010000000"/>
            <w:tcW w:w="968" w:type="dxa"/>
            <w:shd w:val="clear" w:color="auto" w:fill="auto"/>
            <w:vAlign w:val="center"/>
          </w:tcPr>
          <w:p w:rsidR="00D51C66" w:rsidRPr="00F55802" w:rsidRDefault="00D51C66" w:rsidP="001F0251">
            <w:pPr>
              <w:adjustRightInd w:val="0"/>
              <w:snapToGrid w:val="0"/>
              <w:ind w:firstLineChars="0" w:firstLine="0"/>
              <w:rPr>
                <w:i/>
                <w:sz w:val="13"/>
                <w:szCs w:val="13"/>
                <w:lang w:eastAsia="zh-CN"/>
              </w:rPr>
            </w:pPr>
            <w:r w:rsidRPr="00F55802">
              <w:rPr>
                <w:i/>
                <w:sz w:val="13"/>
                <w:szCs w:val="13"/>
              </w:rPr>
              <w:t>Leverage</w:t>
            </w:r>
          </w:p>
        </w:tc>
        <w:tc>
          <w:tcPr>
            <w:tcW w:w="592"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0.1493</w:t>
            </w:r>
          </w:p>
        </w:tc>
        <w:tc>
          <w:tcPr>
            <w:cnfStyle w:val="000010000000"/>
            <w:tcW w:w="76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lang w:eastAsia="zh-CN"/>
              </w:rPr>
            </w:pPr>
            <w:r w:rsidRPr="005D74B9">
              <w:rPr>
                <w:rFonts w:eastAsiaTheme="minorEastAsia"/>
                <w:sz w:val="13"/>
                <w:szCs w:val="13"/>
              </w:rPr>
              <w:t>0.399</w:t>
            </w:r>
            <w:r w:rsidR="00FD3DF3">
              <w:rPr>
                <w:rFonts w:eastAsiaTheme="minorEastAsia" w:hint="eastAsia"/>
                <w:sz w:val="13"/>
                <w:szCs w:val="13"/>
                <w:lang w:eastAsia="zh-CN"/>
              </w:rPr>
              <w:t>0</w:t>
            </w:r>
          </w:p>
        </w:tc>
        <w:tc>
          <w:tcPr>
            <w:tcW w:w="56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-0.6213</w:t>
            </w:r>
          </w:p>
        </w:tc>
        <w:tc>
          <w:tcPr>
            <w:cnfStyle w:val="000010000000"/>
            <w:tcW w:w="476"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lang w:eastAsia="zh-CN"/>
              </w:rPr>
            </w:pPr>
            <w:r w:rsidRPr="005D74B9">
              <w:rPr>
                <w:rFonts w:eastAsiaTheme="minorEastAsia"/>
                <w:sz w:val="13"/>
                <w:szCs w:val="13"/>
              </w:rPr>
              <w:t>0.437</w:t>
            </w:r>
            <w:r w:rsidR="00FD3DF3">
              <w:rPr>
                <w:rFonts w:eastAsiaTheme="minorEastAsia" w:hint="eastAsia"/>
                <w:sz w:val="13"/>
                <w:szCs w:val="13"/>
                <w:lang w:eastAsia="zh-CN"/>
              </w:rPr>
              <w:t>0</w:t>
            </w:r>
          </w:p>
        </w:tc>
        <w:tc>
          <w:tcPr>
            <w:tcW w:w="63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0.0827</w:t>
            </w:r>
          </w:p>
        </w:tc>
        <w:tc>
          <w:tcPr>
            <w:cnfStyle w:val="000010000000"/>
            <w:tcW w:w="830"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0.0291</w:t>
            </w:r>
          </w:p>
        </w:tc>
        <w:tc>
          <w:tcPr>
            <w:tcW w:w="567"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-0.1423</w:t>
            </w:r>
          </w:p>
        </w:tc>
        <w:tc>
          <w:tcPr>
            <w:cnfStyle w:val="000010000000"/>
            <w:tcW w:w="70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-0.3001</w:t>
            </w:r>
          </w:p>
        </w:tc>
        <w:tc>
          <w:tcPr>
            <w:tcW w:w="665"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-0.0664</w:t>
            </w:r>
          </w:p>
        </w:tc>
        <w:tc>
          <w:tcPr>
            <w:cnfStyle w:val="000010000000"/>
            <w:tcW w:w="50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-0.2946</w:t>
            </w:r>
          </w:p>
        </w:tc>
        <w:tc>
          <w:tcPr>
            <w:tcW w:w="616"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1</w:t>
            </w:r>
          </w:p>
        </w:tc>
        <w:tc>
          <w:tcPr>
            <w:cnfStyle w:val="000010000000"/>
            <w:tcW w:w="483"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0.5031</w:t>
            </w:r>
          </w:p>
        </w:tc>
        <w:tc>
          <w:tcPr>
            <w:tcW w:w="992"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0.5192</w:t>
            </w:r>
          </w:p>
        </w:tc>
        <w:tc>
          <w:tcPr>
            <w:cnfStyle w:val="000010000000"/>
            <w:tcW w:w="70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lang w:eastAsia="zh-CN"/>
              </w:rPr>
            </w:pPr>
            <w:r w:rsidRPr="005D74B9">
              <w:rPr>
                <w:rFonts w:eastAsiaTheme="minorEastAsia"/>
                <w:sz w:val="13"/>
                <w:szCs w:val="13"/>
              </w:rPr>
              <w:t>-0.766</w:t>
            </w:r>
            <w:r w:rsidR="00FD3DF3">
              <w:rPr>
                <w:rFonts w:eastAsiaTheme="minorEastAsia" w:hint="eastAsia"/>
                <w:sz w:val="13"/>
                <w:szCs w:val="13"/>
                <w:lang w:eastAsia="zh-CN"/>
              </w:rPr>
              <w:t>0</w:t>
            </w:r>
          </w:p>
        </w:tc>
        <w:tc>
          <w:tcPr>
            <w:tcW w:w="85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-0.7793</w:t>
            </w:r>
          </w:p>
        </w:tc>
        <w:tc>
          <w:tcPr>
            <w:cnfStyle w:val="000010000000"/>
            <w:tcW w:w="47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-0.2936</w:t>
            </w:r>
          </w:p>
        </w:tc>
        <w:tc>
          <w:tcPr>
            <w:tcW w:w="56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-0.0946</w:t>
            </w:r>
          </w:p>
        </w:tc>
        <w:tc>
          <w:tcPr>
            <w:cnfStyle w:val="000010000000"/>
            <w:tcW w:w="80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0.1206</w:t>
            </w:r>
          </w:p>
        </w:tc>
      </w:tr>
      <w:tr w:rsidR="00BC65FB" w:rsidRPr="00182065" w:rsidTr="00F55802">
        <w:trPr>
          <w:cnfStyle w:val="000000100000"/>
          <w:trHeight w:val="255"/>
          <w:jc w:val="center"/>
        </w:trPr>
        <w:tc>
          <w:tcPr>
            <w:cnfStyle w:val="000010000000"/>
            <w:tcW w:w="968" w:type="dxa"/>
            <w:shd w:val="clear" w:color="auto" w:fill="auto"/>
            <w:vAlign w:val="center"/>
          </w:tcPr>
          <w:p w:rsidR="00D51C66" w:rsidRPr="00F55802" w:rsidRDefault="00D51C66" w:rsidP="001F0251">
            <w:pPr>
              <w:adjustRightInd w:val="0"/>
              <w:snapToGrid w:val="0"/>
              <w:ind w:firstLineChars="0" w:firstLine="0"/>
              <w:rPr>
                <w:i/>
                <w:sz w:val="13"/>
                <w:szCs w:val="13"/>
              </w:rPr>
            </w:pPr>
            <w:r w:rsidRPr="00F55802">
              <w:rPr>
                <w:i/>
                <w:sz w:val="13"/>
                <w:szCs w:val="13"/>
              </w:rPr>
              <w:t>Size</w:t>
            </w:r>
          </w:p>
        </w:tc>
        <w:tc>
          <w:tcPr>
            <w:tcW w:w="592"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-0.0105</w:t>
            </w:r>
          </w:p>
        </w:tc>
        <w:tc>
          <w:tcPr>
            <w:cnfStyle w:val="000010000000"/>
            <w:tcW w:w="76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0.8973</w:t>
            </w:r>
          </w:p>
        </w:tc>
        <w:tc>
          <w:tcPr>
            <w:tcW w:w="56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-0.2654</w:t>
            </w:r>
          </w:p>
        </w:tc>
        <w:tc>
          <w:tcPr>
            <w:cnfStyle w:val="000010000000"/>
            <w:tcW w:w="476"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0.3751</w:t>
            </w:r>
          </w:p>
        </w:tc>
        <w:tc>
          <w:tcPr>
            <w:tcW w:w="63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0.4423</w:t>
            </w:r>
          </w:p>
        </w:tc>
        <w:tc>
          <w:tcPr>
            <w:cnfStyle w:val="000010000000"/>
            <w:tcW w:w="830"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-0.0682</w:t>
            </w:r>
          </w:p>
        </w:tc>
        <w:tc>
          <w:tcPr>
            <w:tcW w:w="567"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-0.2103</w:t>
            </w:r>
          </w:p>
        </w:tc>
        <w:tc>
          <w:tcPr>
            <w:cnfStyle w:val="000010000000"/>
            <w:tcW w:w="70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-0.1243</w:t>
            </w:r>
          </w:p>
        </w:tc>
        <w:tc>
          <w:tcPr>
            <w:tcW w:w="665"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-0.0379</w:t>
            </w:r>
          </w:p>
        </w:tc>
        <w:tc>
          <w:tcPr>
            <w:cnfStyle w:val="000010000000"/>
            <w:tcW w:w="50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-0.5172</w:t>
            </w:r>
          </w:p>
        </w:tc>
        <w:tc>
          <w:tcPr>
            <w:tcW w:w="616"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0.4544</w:t>
            </w:r>
          </w:p>
        </w:tc>
        <w:tc>
          <w:tcPr>
            <w:cnfStyle w:val="000010000000"/>
            <w:tcW w:w="483"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1</w:t>
            </w:r>
          </w:p>
        </w:tc>
        <w:tc>
          <w:tcPr>
            <w:tcW w:w="992"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lang w:eastAsia="zh-CN"/>
              </w:rPr>
            </w:pPr>
            <w:r w:rsidRPr="005D74B9">
              <w:rPr>
                <w:rFonts w:eastAsiaTheme="minorEastAsia"/>
                <w:sz w:val="13"/>
                <w:szCs w:val="13"/>
              </w:rPr>
              <w:t>0.929</w:t>
            </w:r>
            <w:r w:rsidR="00FD3DF3">
              <w:rPr>
                <w:rFonts w:eastAsiaTheme="minorEastAsia" w:hint="eastAsia"/>
                <w:sz w:val="13"/>
                <w:szCs w:val="13"/>
                <w:lang w:eastAsia="zh-CN"/>
              </w:rPr>
              <w:t>0</w:t>
            </w:r>
          </w:p>
        </w:tc>
        <w:tc>
          <w:tcPr>
            <w:cnfStyle w:val="000010000000"/>
            <w:tcW w:w="70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-0.5256</w:t>
            </w:r>
          </w:p>
        </w:tc>
        <w:tc>
          <w:tcPr>
            <w:tcW w:w="85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-0.4852</w:t>
            </w:r>
          </w:p>
        </w:tc>
        <w:tc>
          <w:tcPr>
            <w:cnfStyle w:val="000010000000"/>
            <w:tcW w:w="47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-0.3096</w:t>
            </w:r>
          </w:p>
        </w:tc>
        <w:tc>
          <w:tcPr>
            <w:tcW w:w="56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-0.0487</w:t>
            </w:r>
          </w:p>
        </w:tc>
        <w:tc>
          <w:tcPr>
            <w:cnfStyle w:val="000010000000"/>
            <w:tcW w:w="80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lang w:eastAsia="zh-CN"/>
              </w:rPr>
            </w:pPr>
            <w:r w:rsidRPr="005D74B9">
              <w:rPr>
                <w:rFonts w:eastAsiaTheme="minorEastAsia"/>
                <w:sz w:val="13"/>
                <w:szCs w:val="13"/>
              </w:rPr>
              <w:t>-0.245</w:t>
            </w:r>
            <w:r w:rsidR="00FD3DF3">
              <w:rPr>
                <w:rFonts w:eastAsiaTheme="minorEastAsia" w:hint="eastAsia"/>
                <w:sz w:val="13"/>
                <w:szCs w:val="13"/>
                <w:lang w:eastAsia="zh-CN"/>
              </w:rPr>
              <w:t>0</w:t>
            </w:r>
          </w:p>
        </w:tc>
      </w:tr>
      <w:tr w:rsidR="00BC65FB" w:rsidRPr="00182065" w:rsidTr="00F55802">
        <w:trPr>
          <w:trHeight w:val="255"/>
          <w:jc w:val="center"/>
        </w:trPr>
        <w:tc>
          <w:tcPr>
            <w:cnfStyle w:val="000010000000"/>
            <w:tcW w:w="968" w:type="dxa"/>
            <w:shd w:val="clear" w:color="auto" w:fill="auto"/>
            <w:vAlign w:val="center"/>
          </w:tcPr>
          <w:p w:rsidR="00D51C66" w:rsidRPr="00F55802" w:rsidRDefault="00D51C66" w:rsidP="001F0251">
            <w:pPr>
              <w:adjustRightInd w:val="0"/>
              <w:snapToGrid w:val="0"/>
              <w:ind w:firstLineChars="0" w:firstLine="0"/>
              <w:rPr>
                <w:i/>
                <w:sz w:val="13"/>
                <w:szCs w:val="13"/>
              </w:rPr>
            </w:pPr>
            <w:r w:rsidRPr="00F55802">
              <w:rPr>
                <w:i/>
                <w:sz w:val="13"/>
                <w:szCs w:val="13"/>
              </w:rPr>
              <w:t>Capital_intensity</w:t>
            </w:r>
          </w:p>
        </w:tc>
        <w:tc>
          <w:tcPr>
            <w:tcW w:w="592"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-0.0238</w:t>
            </w:r>
          </w:p>
        </w:tc>
        <w:tc>
          <w:tcPr>
            <w:cnfStyle w:val="000010000000"/>
            <w:tcW w:w="76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0.8792</w:t>
            </w:r>
          </w:p>
        </w:tc>
        <w:tc>
          <w:tcPr>
            <w:tcW w:w="56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-0.1483</w:t>
            </w:r>
          </w:p>
        </w:tc>
        <w:tc>
          <w:tcPr>
            <w:cnfStyle w:val="000010000000"/>
            <w:tcW w:w="476"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0.2435</w:t>
            </w:r>
          </w:p>
        </w:tc>
        <w:tc>
          <w:tcPr>
            <w:tcW w:w="63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0.3409</w:t>
            </w:r>
          </w:p>
        </w:tc>
        <w:tc>
          <w:tcPr>
            <w:cnfStyle w:val="000010000000"/>
            <w:tcW w:w="830"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0.0291</w:t>
            </w:r>
          </w:p>
        </w:tc>
        <w:tc>
          <w:tcPr>
            <w:tcW w:w="567"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-0.3045</w:t>
            </w:r>
          </w:p>
        </w:tc>
        <w:tc>
          <w:tcPr>
            <w:cnfStyle w:val="000010000000"/>
            <w:tcW w:w="70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-0.0557</w:t>
            </w:r>
          </w:p>
        </w:tc>
        <w:tc>
          <w:tcPr>
            <w:tcW w:w="665"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-0.0062</w:t>
            </w:r>
          </w:p>
        </w:tc>
        <w:tc>
          <w:tcPr>
            <w:cnfStyle w:val="000010000000"/>
            <w:tcW w:w="50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-0.5182</w:t>
            </w:r>
          </w:p>
        </w:tc>
        <w:tc>
          <w:tcPr>
            <w:tcW w:w="616"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0.4052</w:t>
            </w:r>
          </w:p>
        </w:tc>
        <w:tc>
          <w:tcPr>
            <w:cnfStyle w:val="000010000000"/>
            <w:tcW w:w="483"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0.9491</w:t>
            </w:r>
          </w:p>
        </w:tc>
        <w:tc>
          <w:tcPr>
            <w:tcW w:w="992"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1</w:t>
            </w:r>
          </w:p>
        </w:tc>
        <w:tc>
          <w:tcPr>
            <w:cnfStyle w:val="000010000000"/>
            <w:tcW w:w="70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-0.6255</w:t>
            </w:r>
          </w:p>
        </w:tc>
        <w:tc>
          <w:tcPr>
            <w:tcW w:w="85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-0.5202</w:t>
            </w:r>
          </w:p>
        </w:tc>
        <w:tc>
          <w:tcPr>
            <w:cnfStyle w:val="000010000000"/>
            <w:tcW w:w="47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-0.3775</w:t>
            </w:r>
          </w:p>
        </w:tc>
        <w:tc>
          <w:tcPr>
            <w:tcW w:w="56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-0.1404</w:t>
            </w:r>
          </w:p>
        </w:tc>
        <w:tc>
          <w:tcPr>
            <w:cnfStyle w:val="000010000000"/>
            <w:tcW w:w="80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-0.2374</w:t>
            </w:r>
          </w:p>
        </w:tc>
      </w:tr>
      <w:tr w:rsidR="00BC65FB" w:rsidRPr="00182065" w:rsidTr="00F55802">
        <w:trPr>
          <w:cnfStyle w:val="000000100000"/>
          <w:trHeight w:val="255"/>
          <w:jc w:val="center"/>
        </w:trPr>
        <w:tc>
          <w:tcPr>
            <w:cnfStyle w:val="000010000000"/>
            <w:tcW w:w="968" w:type="dxa"/>
            <w:shd w:val="clear" w:color="auto" w:fill="auto"/>
            <w:vAlign w:val="center"/>
          </w:tcPr>
          <w:p w:rsidR="00D51C66" w:rsidRPr="00F55802" w:rsidRDefault="00F55802" w:rsidP="001F0251">
            <w:pPr>
              <w:adjustRightInd w:val="0"/>
              <w:snapToGrid w:val="0"/>
              <w:ind w:firstLineChars="0" w:firstLine="0"/>
              <w:rPr>
                <w:i/>
                <w:sz w:val="13"/>
                <w:szCs w:val="13"/>
              </w:rPr>
            </w:pPr>
            <w:r>
              <w:rPr>
                <w:i/>
                <w:sz w:val="13"/>
                <w:szCs w:val="13"/>
              </w:rPr>
              <w:t>Current</w:t>
            </w:r>
            <w:r>
              <w:rPr>
                <w:rFonts w:hint="eastAsia"/>
                <w:i/>
                <w:sz w:val="13"/>
                <w:szCs w:val="13"/>
                <w:lang w:eastAsia="zh-CN"/>
              </w:rPr>
              <w:t>_</w:t>
            </w:r>
            <w:r w:rsidR="00D51C66" w:rsidRPr="00F55802">
              <w:rPr>
                <w:i/>
                <w:sz w:val="13"/>
                <w:szCs w:val="13"/>
              </w:rPr>
              <w:t>rate</w:t>
            </w:r>
          </w:p>
        </w:tc>
        <w:tc>
          <w:tcPr>
            <w:tcW w:w="592"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lang w:eastAsia="zh-CN"/>
              </w:rPr>
            </w:pPr>
            <w:r w:rsidRPr="005D74B9">
              <w:rPr>
                <w:rFonts w:eastAsiaTheme="minorEastAsia"/>
                <w:sz w:val="13"/>
                <w:szCs w:val="13"/>
              </w:rPr>
              <w:t>-0.134</w:t>
            </w:r>
            <w:r w:rsidR="00FD3DF3">
              <w:rPr>
                <w:rFonts w:eastAsiaTheme="minorEastAsia" w:hint="eastAsia"/>
                <w:sz w:val="13"/>
                <w:szCs w:val="13"/>
                <w:lang w:eastAsia="zh-CN"/>
              </w:rPr>
              <w:t>0</w:t>
            </w:r>
          </w:p>
        </w:tc>
        <w:tc>
          <w:tcPr>
            <w:cnfStyle w:val="000010000000"/>
            <w:tcW w:w="76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-0.5818</w:t>
            </w:r>
          </w:p>
        </w:tc>
        <w:tc>
          <w:tcPr>
            <w:tcW w:w="56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0.1837</w:t>
            </w:r>
          </w:p>
        </w:tc>
        <w:tc>
          <w:tcPr>
            <w:cnfStyle w:val="000010000000"/>
            <w:tcW w:w="476"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-0.1896</w:t>
            </w:r>
          </w:p>
        </w:tc>
        <w:tc>
          <w:tcPr>
            <w:tcW w:w="63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-0.1256</w:t>
            </w:r>
          </w:p>
        </w:tc>
        <w:tc>
          <w:tcPr>
            <w:cnfStyle w:val="000010000000"/>
            <w:tcW w:w="830"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-0.1356</w:t>
            </w:r>
          </w:p>
        </w:tc>
        <w:tc>
          <w:tcPr>
            <w:tcW w:w="567"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0.1493</w:t>
            </w:r>
          </w:p>
        </w:tc>
        <w:tc>
          <w:tcPr>
            <w:cnfStyle w:val="000010000000"/>
            <w:tcW w:w="70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0.1113</w:t>
            </w:r>
          </w:p>
        </w:tc>
        <w:tc>
          <w:tcPr>
            <w:tcW w:w="665"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-0.1684</w:t>
            </w:r>
          </w:p>
        </w:tc>
        <w:tc>
          <w:tcPr>
            <w:cnfStyle w:val="000010000000"/>
            <w:tcW w:w="50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lang w:eastAsia="zh-CN"/>
              </w:rPr>
            </w:pPr>
            <w:r w:rsidRPr="005D74B9">
              <w:rPr>
                <w:rFonts w:eastAsiaTheme="minorEastAsia"/>
                <w:sz w:val="13"/>
                <w:szCs w:val="13"/>
              </w:rPr>
              <w:t>0.377</w:t>
            </w:r>
            <w:r w:rsidR="00FD3DF3">
              <w:rPr>
                <w:rFonts w:eastAsiaTheme="minorEastAsia" w:hint="eastAsia"/>
                <w:sz w:val="13"/>
                <w:szCs w:val="13"/>
                <w:lang w:eastAsia="zh-CN"/>
              </w:rPr>
              <w:t>0</w:t>
            </w:r>
          </w:p>
        </w:tc>
        <w:tc>
          <w:tcPr>
            <w:tcW w:w="616"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-0.5041</w:t>
            </w:r>
          </w:p>
        </w:tc>
        <w:tc>
          <w:tcPr>
            <w:cnfStyle w:val="000010000000"/>
            <w:tcW w:w="483"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-0.4809</w:t>
            </w:r>
          </w:p>
        </w:tc>
        <w:tc>
          <w:tcPr>
            <w:tcW w:w="992"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-0.5688</w:t>
            </w:r>
          </w:p>
        </w:tc>
        <w:tc>
          <w:tcPr>
            <w:cnfStyle w:val="000010000000"/>
            <w:tcW w:w="70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1</w:t>
            </w:r>
          </w:p>
        </w:tc>
        <w:tc>
          <w:tcPr>
            <w:tcW w:w="85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0.6869</w:t>
            </w:r>
          </w:p>
        </w:tc>
        <w:tc>
          <w:tcPr>
            <w:cnfStyle w:val="000010000000"/>
            <w:tcW w:w="47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0.2616</w:t>
            </w:r>
          </w:p>
        </w:tc>
        <w:tc>
          <w:tcPr>
            <w:tcW w:w="56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lang w:eastAsia="zh-CN"/>
              </w:rPr>
            </w:pPr>
            <w:r w:rsidRPr="005D74B9">
              <w:rPr>
                <w:rFonts w:eastAsiaTheme="minorEastAsia"/>
                <w:sz w:val="13"/>
                <w:szCs w:val="13"/>
              </w:rPr>
              <w:t>0.082</w:t>
            </w:r>
            <w:r w:rsidR="00FD3DF3">
              <w:rPr>
                <w:rFonts w:eastAsiaTheme="minorEastAsia" w:hint="eastAsia"/>
                <w:sz w:val="13"/>
                <w:szCs w:val="13"/>
                <w:lang w:eastAsia="zh-CN"/>
              </w:rPr>
              <w:t>0</w:t>
            </w:r>
          </w:p>
        </w:tc>
        <w:tc>
          <w:tcPr>
            <w:cnfStyle w:val="000010000000"/>
            <w:tcW w:w="80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-0.0899</w:t>
            </w:r>
          </w:p>
        </w:tc>
      </w:tr>
      <w:tr w:rsidR="00BC65FB" w:rsidRPr="00182065" w:rsidTr="00F55802">
        <w:trPr>
          <w:trHeight w:val="255"/>
          <w:jc w:val="center"/>
        </w:trPr>
        <w:tc>
          <w:tcPr>
            <w:cnfStyle w:val="000010000000"/>
            <w:tcW w:w="968" w:type="dxa"/>
            <w:shd w:val="clear" w:color="auto" w:fill="auto"/>
            <w:vAlign w:val="center"/>
          </w:tcPr>
          <w:p w:rsidR="00D51C66" w:rsidRPr="00F55802" w:rsidRDefault="00D51C66" w:rsidP="001F0251">
            <w:pPr>
              <w:adjustRightInd w:val="0"/>
              <w:snapToGrid w:val="0"/>
              <w:ind w:firstLineChars="0" w:firstLine="0"/>
              <w:rPr>
                <w:i/>
                <w:sz w:val="13"/>
                <w:szCs w:val="13"/>
              </w:rPr>
            </w:pPr>
            <w:r w:rsidRPr="00F55802">
              <w:rPr>
                <w:i/>
                <w:sz w:val="13"/>
                <w:szCs w:val="13"/>
              </w:rPr>
              <w:t>Interestcoverage</w:t>
            </w:r>
          </w:p>
        </w:tc>
        <w:tc>
          <w:tcPr>
            <w:tcW w:w="592"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0.0738</w:t>
            </w:r>
          </w:p>
        </w:tc>
        <w:tc>
          <w:tcPr>
            <w:cnfStyle w:val="000010000000"/>
            <w:tcW w:w="76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-0.3458</w:t>
            </w:r>
          </w:p>
        </w:tc>
        <w:tc>
          <w:tcPr>
            <w:tcW w:w="56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0.1441</w:t>
            </w:r>
          </w:p>
        </w:tc>
        <w:tc>
          <w:tcPr>
            <w:cnfStyle w:val="000010000000"/>
            <w:tcW w:w="476"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-0.1441</w:t>
            </w:r>
          </w:p>
        </w:tc>
        <w:tc>
          <w:tcPr>
            <w:tcW w:w="63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-0.0699</w:t>
            </w:r>
          </w:p>
        </w:tc>
        <w:tc>
          <w:tcPr>
            <w:cnfStyle w:val="000010000000"/>
            <w:tcW w:w="830"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lang w:eastAsia="zh-CN"/>
              </w:rPr>
            </w:pPr>
            <w:r w:rsidRPr="005D74B9">
              <w:rPr>
                <w:rFonts w:eastAsiaTheme="minorEastAsia"/>
                <w:sz w:val="13"/>
                <w:szCs w:val="13"/>
              </w:rPr>
              <w:t>-0.09</w:t>
            </w:r>
            <w:r w:rsidR="00FD3DF3">
              <w:rPr>
                <w:rFonts w:eastAsiaTheme="minorEastAsia" w:hint="eastAsia"/>
                <w:sz w:val="13"/>
                <w:szCs w:val="13"/>
                <w:lang w:eastAsia="zh-CN"/>
              </w:rPr>
              <w:t>00</w:t>
            </w:r>
          </w:p>
        </w:tc>
        <w:tc>
          <w:tcPr>
            <w:tcW w:w="567"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0.1202</w:t>
            </w:r>
          </w:p>
        </w:tc>
        <w:tc>
          <w:tcPr>
            <w:cnfStyle w:val="000010000000"/>
            <w:tcW w:w="70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0.2143</w:t>
            </w:r>
          </w:p>
        </w:tc>
        <w:tc>
          <w:tcPr>
            <w:tcW w:w="665"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lang w:eastAsia="zh-CN"/>
              </w:rPr>
            </w:pPr>
            <w:r w:rsidRPr="005D74B9">
              <w:rPr>
                <w:rFonts w:eastAsiaTheme="minorEastAsia"/>
                <w:sz w:val="13"/>
                <w:szCs w:val="13"/>
              </w:rPr>
              <w:t>-0.029</w:t>
            </w:r>
            <w:r w:rsidR="00FD3DF3">
              <w:rPr>
                <w:rFonts w:eastAsiaTheme="minorEastAsia" w:hint="eastAsia"/>
                <w:sz w:val="13"/>
                <w:szCs w:val="13"/>
                <w:lang w:eastAsia="zh-CN"/>
              </w:rPr>
              <w:t>0</w:t>
            </w:r>
          </w:p>
        </w:tc>
        <w:tc>
          <w:tcPr>
            <w:cnfStyle w:val="000010000000"/>
            <w:tcW w:w="50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0.3711</w:t>
            </w:r>
          </w:p>
        </w:tc>
        <w:tc>
          <w:tcPr>
            <w:tcW w:w="616"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lang w:eastAsia="zh-CN"/>
              </w:rPr>
            </w:pPr>
            <w:r w:rsidRPr="005D74B9">
              <w:rPr>
                <w:rFonts w:eastAsiaTheme="minorEastAsia"/>
                <w:sz w:val="13"/>
                <w:szCs w:val="13"/>
              </w:rPr>
              <w:t>-0.381</w:t>
            </w:r>
            <w:r w:rsidR="00FD3DF3">
              <w:rPr>
                <w:rFonts w:eastAsiaTheme="minorEastAsia" w:hint="eastAsia"/>
                <w:sz w:val="13"/>
                <w:szCs w:val="13"/>
                <w:lang w:eastAsia="zh-CN"/>
              </w:rPr>
              <w:t>0</w:t>
            </w:r>
          </w:p>
        </w:tc>
        <w:tc>
          <w:tcPr>
            <w:cnfStyle w:val="000010000000"/>
            <w:tcW w:w="483"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-0.2403</w:t>
            </w:r>
          </w:p>
        </w:tc>
        <w:tc>
          <w:tcPr>
            <w:tcW w:w="992"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-0.3266</w:t>
            </w:r>
          </w:p>
        </w:tc>
        <w:tc>
          <w:tcPr>
            <w:cnfStyle w:val="000010000000"/>
            <w:tcW w:w="70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0.6068</w:t>
            </w:r>
          </w:p>
        </w:tc>
        <w:tc>
          <w:tcPr>
            <w:tcW w:w="85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1</w:t>
            </w:r>
          </w:p>
        </w:tc>
        <w:tc>
          <w:tcPr>
            <w:cnfStyle w:val="000010000000"/>
            <w:tcW w:w="47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0.3915</w:t>
            </w:r>
          </w:p>
        </w:tc>
        <w:tc>
          <w:tcPr>
            <w:tcW w:w="56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0.2725</w:t>
            </w:r>
          </w:p>
        </w:tc>
        <w:tc>
          <w:tcPr>
            <w:cnfStyle w:val="000010000000"/>
            <w:tcW w:w="80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-0.1441</w:t>
            </w:r>
          </w:p>
        </w:tc>
      </w:tr>
      <w:tr w:rsidR="00BC65FB" w:rsidRPr="00182065" w:rsidTr="00F55802">
        <w:trPr>
          <w:cnfStyle w:val="000000100000"/>
          <w:trHeight w:val="255"/>
          <w:jc w:val="center"/>
        </w:trPr>
        <w:tc>
          <w:tcPr>
            <w:cnfStyle w:val="000010000000"/>
            <w:tcW w:w="968" w:type="dxa"/>
            <w:shd w:val="clear" w:color="auto" w:fill="auto"/>
            <w:vAlign w:val="center"/>
          </w:tcPr>
          <w:p w:rsidR="00D51C66" w:rsidRPr="00F55802" w:rsidRDefault="00D51C66" w:rsidP="001F0251">
            <w:pPr>
              <w:adjustRightInd w:val="0"/>
              <w:snapToGrid w:val="0"/>
              <w:ind w:firstLineChars="0" w:firstLine="0"/>
              <w:rPr>
                <w:i/>
                <w:sz w:val="13"/>
                <w:szCs w:val="13"/>
              </w:rPr>
            </w:pPr>
            <w:r w:rsidRPr="00F55802">
              <w:rPr>
                <w:i/>
                <w:sz w:val="13"/>
                <w:szCs w:val="13"/>
              </w:rPr>
              <w:t>High rd</w:t>
            </w:r>
          </w:p>
        </w:tc>
        <w:tc>
          <w:tcPr>
            <w:tcW w:w="592"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-0.0031</w:t>
            </w:r>
          </w:p>
        </w:tc>
        <w:tc>
          <w:tcPr>
            <w:cnfStyle w:val="000010000000"/>
            <w:tcW w:w="76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-0.2181</w:t>
            </w:r>
          </w:p>
        </w:tc>
        <w:tc>
          <w:tcPr>
            <w:tcW w:w="56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0.1551</w:t>
            </w:r>
          </w:p>
        </w:tc>
        <w:tc>
          <w:tcPr>
            <w:cnfStyle w:val="000010000000"/>
            <w:tcW w:w="476"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-0.4165</w:t>
            </w:r>
          </w:p>
        </w:tc>
        <w:tc>
          <w:tcPr>
            <w:tcW w:w="63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-0.4556</w:t>
            </w:r>
          </w:p>
        </w:tc>
        <w:tc>
          <w:tcPr>
            <w:cnfStyle w:val="000010000000"/>
            <w:tcW w:w="830"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0.0824</w:t>
            </w:r>
          </w:p>
        </w:tc>
        <w:tc>
          <w:tcPr>
            <w:tcW w:w="567"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0.1575</w:t>
            </w:r>
          </w:p>
        </w:tc>
        <w:tc>
          <w:tcPr>
            <w:cnfStyle w:val="000010000000"/>
            <w:tcW w:w="70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lang w:eastAsia="zh-CN"/>
              </w:rPr>
            </w:pPr>
            <w:r w:rsidRPr="005D74B9">
              <w:rPr>
                <w:rFonts w:eastAsiaTheme="minorEastAsia"/>
                <w:sz w:val="13"/>
                <w:szCs w:val="13"/>
              </w:rPr>
              <w:t>0.691</w:t>
            </w:r>
            <w:r w:rsidR="00FD3DF3">
              <w:rPr>
                <w:rFonts w:eastAsiaTheme="minorEastAsia" w:hint="eastAsia"/>
                <w:sz w:val="13"/>
                <w:szCs w:val="13"/>
                <w:lang w:eastAsia="zh-CN"/>
              </w:rPr>
              <w:t>0</w:t>
            </w:r>
          </w:p>
        </w:tc>
        <w:tc>
          <w:tcPr>
            <w:tcW w:w="665"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0.1774</w:t>
            </w:r>
          </w:p>
        </w:tc>
        <w:tc>
          <w:tcPr>
            <w:cnfStyle w:val="000010000000"/>
            <w:tcW w:w="50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lang w:eastAsia="zh-CN"/>
              </w:rPr>
            </w:pPr>
            <w:r w:rsidRPr="005D74B9">
              <w:rPr>
                <w:rFonts w:eastAsiaTheme="minorEastAsia"/>
                <w:sz w:val="13"/>
                <w:szCs w:val="13"/>
              </w:rPr>
              <w:t>0.375</w:t>
            </w:r>
            <w:r w:rsidR="00FD3DF3">
              <w:rPr>
                <w:rFonts w:eastAsiaTheme="minorEastAsia" w:hint="eastAsia"/>
                <w:sz w:val="13"/>
                <w:szCs w:val="13"/>
                <w:lang w:eastAsia="zh-CN"/>
              </w:rPr>
              <w:t>0</w:t>
            </w:r>
          </w:p>
        </w:tc>
        <w:tc>
          <w:tcPr>
            <w:tcW w:w="616"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-0.2237</w:t>
            </w:r>
          </w:p>
        </w:tc>
        <w:tc>
          <w:tcPr>
            <w:cnfStyle w:val="000010000000"/>
            <w:tcW w:w="483"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-0.3206</w:t>
            </w:r>
          </w:p>
        </w:tc>
        <w:tc>
          <w:tcPr>
            <w:tcW w:w="992"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-0.3183</w:t>
            </w:r>
          </w:p>
        </w:tc>
        <w:tc>
          <w:tcPr>
            <w:cnfStyle w:val="000010000000"/>
            <w:tcW w:w="70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0.2592</w:t>
            </w:r>
          </w:p>
        </w:tc>
        <w:tc>
          <w:tcPr>
            <w:tcW w:w="85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0.1983</w:t>
            </w:r>
          </w:p>
        </w:tc>
        <w:tc>
          <w:tcPr>
            <w:cnfStyle w:val="000010000000"/>
            <w:tcW w:w="47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1</w:t>
            </w:r>
          </w:p>
        </w:tc>
        <w:tc>
          <w:tcPr>
            <w:tcW w:w="56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0.0902</w:t>
            </w:r>
          </w:p>
        </w:tc>
        <w:tc>
          <w:tcPr>
            <w:cnfStyle w:val="000010000000"/>
            <w:tcW w:w="80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-0.0733</w:t>
            </w:r>
          </w:p>
        </w:tc>
      </w:tr>
      <w:tr w:rsidR="00BC65FB" w:rsidRPr="00182065" w:rsidTr="00F55802">
        <w:trPr>
          <w:trHeight w:val="255"/>
          <w:jc w:val="center"/>
        </w:trPr>
        <w:tc>
          <w:tcPr>
            <w:cnfStyle w:val="000010000000"/>
            <w:tcW w:w="968" w:type="dxa"/>
            <w:shd w:val="clear" w:color="auto" w:fill="auto"/>
            <w:vAlign w:val="center"/>
          </w:tcPr>
          <w:p w:rsidR="00D51C66" w:rsidRPr="00F55802" w:rsidRDefault="00D51C66" w:rsidP="001F0251">
            <w:pPr>
              <w:adjustRightInd w:val="0"/>
              <w:snapToGrid w:val="0"/>
              <w:ind w:firstLineChars="0" w:firstLine="0"/>
              <w:rPr>
                <w:i/>
                <w:sz w:val="13"/>
                <w:szCs w:val="13"/>
              </w:rPr>
            </w:pPr>
            <w:r w:rsidRPr="00F55802">
              <w:rPr>
                <w:i/>
                <w:sz w:val="13"/>
                <w:szCs w:val="13"/>
              </w:rPr>
              <w:t>High advertise</w:t>
            </w:r>
          </w:p>
        </w:tc>
        <w:tc>
          <w:tcPr>
            <w:tcW w:w="592"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0.2209</w:t>
            </w:r>
          </w:p>
        </w:tc>
        <w:tc>
          <w:tcPr>
            <w:cnfStyle w:val="000010000000"/>
            <w:tcW w:w="76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lang w:eastAsia="zh-CN"/>
              </w:rPr>
            </w:pPr>
            <w:r w:rsidRPr="005D74B9">
              <w:rPr>
                <w:rFonts w:eastAsiaTheme="minorEastAsia"/>
                <w:sz w:val="13"/>
                <w:szCs w:val="13"/>
              </w:rPr>
              <w:t>-0.002</w:t>
            </w:r>
            <w:r w:rsidR="00FD3DF3">
              <w:rPr>
                <w:rFonts w:eastAsiaTheme="minorEastAsia" w:hint="eastAsia"/>
                <w:sz w:val="13"/>
                <w:szCs w:val="13"/>
                <w:lang w:eastAsia="zh-CN"/>
              </w:rPr>
              <w:t>0</w:t>
            </w:r>
          </w:p>
        </w:tc>
        <w:tc>
          <w:tcPr>
            <w:tcW w:w="56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-0.0897</w:t>
            </w:r>
          </w:p>
        </w:tc>
        <w:tc>
          <w:tcPr>
            <w:cnfStyle w:val="000010000000"/>
            <w:tcW w:w="476"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lang w:eastAsia="zh-CN"/>
              </w:rPr>
            </w:pPr>
            <w:r w:rsidRPr="005D74B9">
              <w:rPr>
                <w:rFonts w:eastAsiaTheme="minorEastAsia"/>
                <w:sz w:val="13"/>
                <w:szCs w:val="13"/>
              </w:rPr>
              <w:t>-0.096</w:t>
            </w:r>
            <w:r w:rsidR="00FD3DF3">
              <w:rPr>
                <w:rFonts w:eastAsiaTheme="minorEastAsia" w:hint="eastAsia"/>
                <w:sz w:val="13"/>
                <w:szCs w:val="13"/>
                <w:lang w:eastAsia="zh-CN"/>
              </w:rPr>
              <w:t>0</w:t>
            </w:r>
          </w:p>
        </w:tc>
        <w:tc>
          <w:tcPr>
            <w:tcW w:w="63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-0.1308</w:t>
            </w:r>
          </w:p>
        </w:tc>
        <w:tc>
          <w:tcPr>
            <w:cnfStyle w:val="000010000000"/>
            <w:tcW w:w="830"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-0.2212</w:t>
            </w:r>
          </w:p>
        </w:tc>
        <w:tc>
          <w:tcPr>
            <w:tcW w:w="567"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lang w:eastAsia="zh-CN"/>
              </w:rPr>
            </w:pPr>
            <w:r w:rsidRPr="005D74B9">
              <w:rPr>
                <w:rFonts w:eastAsiaTheme="minorEastAsia"/>
                <w:sz w:val="13"/>
                <w:szCs w:val="13"/>
              </w:rPr>
              <w:t>0.531</w:t>
            </w:r>
            <w:r w:rsidR="00FD3DF3">
              <w:rPr>
                <w:rFonts w:eastAsiaTheme="minorEastAsia" w:hint="eastAsia"/>
                <w:sz w:val="13"/>
                <w:szCs w:val="13"/>
                <w:lang w:eastAsia="zh-CN"/>
              </w:rPr>
              <w:t>0</w:t>
            </w:r>
          </w:p>
        </w:tc>
        <w:tc>
          <w:tcPr>
            <w:cnfStyle w:val="000010000000"/>
            <w:tcW w:w="70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0.0647</w:t>
            </w:r>
          </w:p>
        </w:tc>
        <w:tc>
          <w:tcPr>
            <w:tcW w:w="665"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0.3394</w:t>
            </w:r>
          </w:p>
        </w:tc>
        <w:tc>
          <w:tcPr>
            <w:cnfStyle w:val="000010000000"/>
            <w:tcW w:w="50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0.2563</w:t>
            </w:r>
          </w:p>
        </w:tc>
        <w:tc>
          <w:tcPr>
            <w:tcW w:w="616"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-0.1027</w:t>
            </w:r>
          </w:p>
        </w:tc>
        <w:tc>
          <w:tcPr>
            <w:cnfStyle w:val="000010000000"/>
            <w:tcW w:w="483"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-0.0255</w:t>
            </w:r>
          </w:p>
        </w:tc>
        <w:tc>
          <w:tcPr>
            <w:tcW w:w="992"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-0.0781</w:t>
            </w:r>
          </w:p>
        </w:tc>
        <w:tc>
          <w:tcPr>
            <w:cnfStyle w:val="000010000000"/>
            <w:tcW w:w="70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0.0785</w:t>
            </w:r>
          </w:p>
        </w:tc>
        <w:tc>
          <w:tcPr>
            <w:tcW w:w="85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0.1715</w:t>
            </w:r>
          </w:p>
        </w:tc>
        <w:tc>
          <w:tcPr>
            <w:cnfStyle w:val="000010000000"/>
            <w:tcW w:w="47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0.0902</w:t>
            </w:r>
          </w:p>
        </w:tc>
        <w:tc>
          <w:tcPr>
            <w:tcW w:w="56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000000"/>
              <w:rPr>
                <w:rFonts w:eastAsiaTheme="minorEastAsia"/>
                <w:sz w:val="13"/>
                <w:szCs w:val="13"/>
              </w:rPr>
            </w:pPr>
            <w:r w:rsidRPr="005D74B9">
              <w:rPr>
                <w:rFonts w:eastAsiaTheme="minorEastAsia"/>
                <w:sz w:val="13"/>
                <w:szCs w:val="13"/>
              </w:rPr>
              <w:t>1</w:t>
            </w:r>
          </w:p>
        </w:tc>
        <w:tc>
          <w:tcPr>
            <w:cnfStyle w:val="000010000000"/>
            <w:tcW w:w="80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0.2059</w:t>
            </w:r>
          </w:p>
        </w:tc>
      </w:tr>
      <w:tr w:rsidR="00BC65FB" w:rsidRPr="00182065" w:rsidTr="00F55802">
        <w:trPr>
          <w:cnfStyle w:val="000000100000"/>
          <w:trHeight w:val="255"/>
          <w:jc w:val="center"/>
        </w:trPr>
        <w:tc>
          <w:tcPr>
            <w:cnfStyle w:val="000010000000"/>
            <w:tcW w:w="968" w:type="dxa"/>
            <w:shd w:val="clear" w:color="auto" w:fill="auto"/>
            <w:vAlign w:val="center"/>
          </w:tcPr>
          <w:p w:rsidR="00D51C66" w:rsidRPr="00F55802" w:rsidRDefault="00D51C66" w:rsidP="001F0251">
            <w:pPr>
              <w:adjustRightInd w:val="0"/>
              <w:snapToGrid w:val="0"/>
              <w:ind w:firstLineChars="0" w:firstLine="0"/>
              <w:rPr>
                <w:i/>
                <w:sz w:val="13"/>
                <w:szCs w:val="13"/>
              </w:rPr>
            </w:pPr>
            <w:r w:rsidRPr="00F55802">
              <w:rPr>
                <w:i/>
                <w:sz w:val="13"/>
                <w:szCs w:val="13"/>
              </w:rPr>
              <w:t>Compensation</w:t>
            </w:r>
          </w:p>
        </w:tc>
        <w:tc>
          <w:tcPr>
            <w:tcW w:w="592"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0.1467</w:t>
            </w:r>
          </w:p>
        </w:tc>
        <w:tc>
          <w:tcPr>
            <w:cnfStyle w:val="000010000000"/>
            <w:tcW w:w="76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lang w:eastAsia="zh-CN"/>
              </w:rPr>
            </w:pPr>
            <w:r w:rsidRPr="005D74B9">
              <w:rPr>
                <w:rFonts w:eastAsiaTheme="minorEastAsia"/>
                <w:sz w:val="13"/>
                <w:szCs w:val="13"/>
              </w:rPr>
              <w:t>-0.223</w:t>
            </w:r>
            <w:r w:rsidR="00FD3DF3">
              <w:rPr>
                <w:rFonts w:eastAsiaTheme="minorEastAsia" w:hint="eastAsia"/>
                <w:sz w:val="13"/>
                <w:szCs w:val="13"/>
                <w:lang w:eastAsia="zh-CN"/>
              </w:rPr>
              <w:t>0</w:t>
            </w:r>
          </w:p>
        </w:tc>
        <w:tc>
          <w:tcPr>
            <w:tcW w:w="56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0.0356</w:t>
            </w:r>
          </w:p>
        </w:tc>
        <w:tc>
          <w:tcPr>
            <w:cnfStyle w:val="000010000000"/>
            <w:tcW w:w="476"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0.0875</w:t>
            </w:r>
          </w:p>
        </w:tc>
        <w:tc>
          <w:tcPr>
            <w:tcW w:w="63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0.0623</w:t>
            </w:r>
          </w:p>
        </w:tc>
        <w:tc>
          <w:tcPr>
            <w:cnfStyle w:val="000010000000"/>
            <w:tcW w:w="830"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-0.0771</w:t>
            </w:r>
          </w:p>
        </w:tc>
        <w:tc>
          <w:tcPr>
            <w:tcW w:w="567"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0.0411</w:t>
            </w:r>
          </w:p>
        </w:tc>
        <w:tc>
          <w:tcPr>
            <w:cnfStyle w:val="000010000000"/>
            <w:tcW w:w="70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-0.1487</w:t>
            </w:r>
          </w:p>
        </w:tc>
        <w:tc>
          <w:tcPr>
            <w:tcW w:w="665"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0.1183</w:t>
            </w:r>
          </w:p>
        </w:tc>
        <w:tc>
          <w:tcPr>
            <w:cnfStyle w:val="000010000000"/>
            <w:tcW w:w="50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-0.0069</w:t>
            </w:r>
          </w:p>
        </w:tc>
        <w:tc>
          <w:tcPr>
            <w:tcW w:w="616"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-0.0353</w:t>
            </w:r>
          </w:p>
        </w:tc>
        <w:tc>
          <w:tcPr>
            <w:cnfStyle w:val="000010000000"/>
            <w:tcW w:w="483"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lang w:eastAsia="zh-CN"/>
              </w:rPr>
            </w:pPr>
            <w:r w:rsidRPr="005D74B9">
              <w:rPr>
                <w:rFonts w:eastAsiaTheme="minorEastAsia"/>
                <w:sz w:val="13"/>
                <w:szCs w:val="13"/>
              </w:rPr>
              <w:t>-0.243</w:t>
            </w:r>
            <w:r w:rsidR="00FD3DF3">
              <w:rPr>
                <w:rFonts w:eastAsiaTheme="minorEastAsia" w:hint="eastAsia"/>
                <w:sz w:val="13"/>
                <w:szCs w:val="13"/>
                <w:lang w:eastAsia="zh-CN"/>
              </w:rPr>
              <w:t>0</w:t>
            </w:r>
          </w:p>
        </w:tc>
        <w:tc>
          <w:tcPr>
            <w:tcW w:w="992"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-0.2606</w:t>
            </w:r>
          </w:p>
        </w:tc>
        <w:tc>
          <w:tcPr>
            <w:cnfStyle w:val="000010000000"/>
            <w:tcW w:w="70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-0.0244</w:t>
            </w:r>
          </w:p>
        </w:tc>
        <w:tc>
          <w:tcPr>
            <w:tcW w:w="85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-0.0702</w:t>
            </w:r>
          </w:p>
        </w:tc>
        <w:tc>
          <w:tcPr>
            <w:cnfStyle w:val="000010000000"/>
            <w:tcW w:w="479"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0.0367</w:t>
            </w:r>
          </w:p>
        </w:tc>
        <w:tc>
          <w:tcPr>
            <w:tcW w:w="560" w:type="dxa"/>
            <w:shd w:val="clear" w:color="auto" w:fill="auto"/>
            <w:vAlign w:val="center"/>
          </w:tcPr>
          <w:p w:rsidR="00D51C66" w:rsidRPr="005D74B9" w:rsidRDefault="00D51C66" w:rsidP="001F0251">
            <w:pPr>
              <w:tabs>
                <w:tab w:val="decimal" w:pos="113"/>
              </w:tabs>
              <w:adjustRightInd w:val="0"/>
              <w:snapToGrid w:val="0"/>
              <w:ind w:firstLineChars="0" w:firstLine="0"/>
              <w:cnfStyle w:val="000000100000"/>
              <w:rPr>
                <w:rFonts w:eastAsiaTheme="minorEastAsia"/>
                <w:sz w:val="13"/>
                <w:szCs w:val="13"/>
              </w:rPr>
            </w:pPr>
            <w:r w:rsidRPr="005D74B9">
              <w:rPr>
                <w:rFonts w:eastAsiaTheme="minorEastAsia"/>
                <w:sz w:val="13"/>
                <w:szCs w:val="13"/>
              </w:rPr>
              <w:t>0.1409</w:t>
            </w:r>
          </w:p>
        </w:tc>
        <w:tc>
          <w:tcPr>
            <w:cnfStyle w:val="000010000000"/>
            <w:tcW w:w="804" w:type="dxa"/>
            <w:shd w:val="clear" w:color="auto" w:fill="auto"/>
            <w:vAlign w:val="center"/>
          </w:tcPr>
          <w:p w:rsidR="00D51C66" w:rsidRPr="005D74B9" w:rsidRDefault="00D51C66" w:rsidP="001F0251">
            <w:pPr>
              <w:tabs>
                <w:tab w:val="decimal" w:pos="113"/>
              </w:tabs>
              <w:adjustRightInd w:val="0"/>
              <w:snapToGrid w:val="0"/>
              <w:ind w:firstLineChars="0" w:firstLine="0"/>
              <w:rPr>
                <w:rFonts w:eastAsiaTheme="minorEastAsia"/>
                <w:sz w:val="13"/>
                <w:szCs w:val="13"/>
              </w:rPr>
            </w:pPr>
            <w:r w:rsidRPr="005D74B9">
              <w:rPr>
                <w:rFonts w:eastAsiaTheme="minorEastAsia"/>
                <w:sz w:val="13"/>
                <w:szCs w:val="13"/>
              </w:rPr>
              <w:t>1</w:t>
            </w:r>
          </w:p>
        </w:tc>
      </w:tr>
    </w:tbl>
    <w:p w:rsidR="00245069" w:rsidRDefault="00245069" w:rsidP="0026344E">
      <w:pPr>
        <w:tabs>
          <w:tab w:val="left" w:pos="6960"/>
        </w:tabs>
        <w:suppressAutoHyphens/>
        <w:kinsoku w:val="0"/>
        <w:overflowPunct w:val="0"/>
        <w:autoSpaceDE w:val="0"/>
        <w:autoSpaceDN w:val="0"/>
        <w:spacing w:beforeLines="50" w:afterLines="30"/>
        <w:ind w:firstLineChars="0" w:firstLine="0"/>
        <w:jc w:val="left"/>
        <w:textAlignment w:val="baseline"/>
        <w:rPr>
          <w:rFonts w:eastAsiaTheme="minorEastAsia"/>
          <w:b/>
          <w:sz w:val="24"/>
        </w:rPr>
      </w:pPr>
    </w:p>
    <w:p w:rsidR="00420D0F" w:rsidRDefault="00420D0F" w:rsidP="0026344E">
      <w:pPr>
        <w:suppressAutoHyphens/>
        <w:kinsoku w:val="0"/>
        <w:overflowPunct w:val="0"/>
        <w:autoSpaceDE w:val="0"/>
        <w:autoSpaceDN w:val="0"/>
        <w:spacing w:beforeLines="50" w:afterLines="30"/>
        <w:ind w:firstLineChars="0" w:firstLine="0"/>
        <w:jc w:val="center"/>
        <w:textAlignment w:val="baseline"/>
        <w:rPr>
          <w:rFonts w:eastAsiaTheme="minorEastAsia"/>
          <w:b/>
          <w:sz w:val="24"/>
        </w:rPr>
        <w:sectPr w:rsidR="00420D0F" w:rsidSect="00420D0F">
          <w:headerReference w:type="first" r:id="rId34"/>
          <w:pgSz w:w="16160" w:h="11907" w:orient="landscape" w:code="9"/>
          <w:pgMar w:top="1247" w:right="1701" w:bottom="1247" w:left="1701" w:header="1134" w:footer="1134" w:gutter="0"/>
          <w:pgNumType w:start="1"/>
          <w:cols w:space="720"/>
          <w:noEndnote/>
          <w:titlePg/>
          <w:docGrid w:type="lines" w:linePitch="312" w:charSpace="860"/>
        </w:sectPr>
      </w:pPr>
    </w:p>
    <w:p w:rsidR="00D51C66" w:rsidRPr="00D51C66" w:rsidRDefault="00D51C66" w:rsidP="0026344E">
      <w:pPr>
        <w:suppressAutoHyphens/>
        <w:kinsoku w:val="0"/>
        <w:overflowPunct w:val="0"/>
        <w:autoSpaceDE w:val="0"/>
        <w:autoSpaceDN w:val="0"/>
        <w:spacing w:beforeLines="50" w:afterLines="30"/>
        <w:ind w:firstLineChars="0" w:firstLine="0"/>
        <w:jc w:val="center"/>
        <w:textAlignment w:val="baseline"/>
        <w:rPr>
          <w:rFonts w:eastAsia="MS Gothic"/>
          <w:b/>
          <w:sz w:val="24"/>
        </w:rPr>
      </w:pPr>
      <w:r w:rsidRPr="00D51C66">
        <w:rPr>
          <w:rFonts w:eastAsia="MS Gothic"/>
          <w:b/>
          <w:sz w:val="24"/>
        </w:rPr>
        <w:lastRenderedPageBreak/>
        <w:t>Results of Analysis</w:t>
      </w:r>
    </w:p>
    <w:p w:rsidR="00D51C66" w:rsidRDefault="00D51C66" w:rsidP="001F0251">
      <w:pPr>
        <w:ind w:firstLine="420"/>
        <w:rPr>
          <w:iCs/>
        </w:rPr>
      </w:pPr>
      <w:r w:rsidRPr="00D51C66">
        <w:rPr>
          <w:iCs/>
        </w:rPr>
        <w:t>Results of regression analysis using the least-squares method are</w:t>
      </w:r>
      <w:r w:rsidR="00C968F8">
        <w:rPr>
          <w:rFonts w:hint="eastAsia"/>
          <w:iCs/>
        </w:rPr>
        <w:t xml:space="preserve"> </w:t>
      </w:r>
      <w:r w:rsidRPr="00D51C66">
        <w:rPr>
          <w:iCs/>
        </w:rPr>
        <w:t xml:space="preserve">shown in Tables </w:t>
      </w:r>
      <w:r w:rsidR="00287E14">
        <w:rPr>
          <w:rFonts w:hint="eastAsia"/>
          <w:iCs/>
        </w:rPr>
        <w:t>4</w:t>
      </w:r>
      <w:r w:rsidRPr="00D51C66">
        <w:rPr>
          <w:iCs/>
        </w:rPr>
        <w:t xml:space="preserve"> and </w:t>
      </w:r>
      <w:r w:rsidR="00287E14">
        <w:rPr>
          <w:rFonts w:hint="eastAsia"/>
          <w:iCs/>
        </w:rPr>
        <w:t>5</w:t>
      </w:r>
      <w:r w:rsidRPr="00D51C66">
        <w:rPr>
          <w:iCs/>
        </w:rPr>
        <w:t xml:space="preserve">. Table </w:t>
      </w:r>
      <w:r w:rsidR="00287E14">
        <w:rPr>
          <w:rFonts w:hint="eastAsia"/>
          <w:iCs/>
        </w:rPr>
        <w:t>4</w:t>
      </w:r>
      <w:r w:rsidRPr="00D51C66">
        <w:rPr>
          <w:iCs/>
        </w:rPr>
        <w:t xml:space="preserve"> adopts </w:t>
      </w:r>
      <w:r w:rsidRPr="00D51C66">
        <w:rPr>
          <w:i/>
          <w:iCs/>
        </w:rPr>
        <w:t>ETR</w:t>
      </w:r>
      <w:r w:rsidRPr="00D51C66">
        <w:rPr>
          <w:iCs/>
        </w:rPr>
        <w:t xml:space="preserve"> as the </w:t>
      </w:r>
      <w:r w:rsidRPr="00C968F8">
        <w:rPr>
          <w:i/>
          <w:iCs/>
        </w:rPr>
        <w:t>TAX</w:t>
      </w:r>
      <w:r w:rsidRPr="00D51C66">
        <w:rPr>
          <w:iCs/>
        </w:rPr>
        <w:t xml:space="preserve"> variable, whereas Table </w:t>
      </w:r>
      <w:r w:rsidR="00287E14">
        <w:rPr>
          <w:rFonts w:hint="eastAsia"/>
          <w:iCs/>
        </w:rPr>
        <w:t>5</w:t>
      </w:r>
      <w:r w:rsidRPr="00D51C66">
        <w:rPr>
          <w:iCs/>
        </w:rPr>
        <w:t xml:space="preserve"> adopts </w:t>
      </w:r>
      <w:r w:rsidRPr="00D51C66">
        <w:rPr>
          <w:i/>
          <w:iCs/>
        </w:rPr>
        <w:t>Cash_ETR</w:t>
      </w:r>
      <w:r w:rsidRPr="00D51C66">
        <w:rPr>
          <w:iCs/>
        </w:rPr>
        <w:t xml:space="preserve"> as the </w:t>
      </w:r>
      <w:r w:rsidRPr="00C968F8">
        <w:rPr>
          <w:i/>
          <w:iCs/>
        </w:rPr>
        <w:t>TAX</w:t>
      </w:r>
      <w:r w:rsidRPr="00D51C66">
        <w:rPr>
          <w:iCs/>
        </w:rPr>
        <w:t xml:space="preserve"> variable. In both cases, to deal with heterogeneous dispersion of the error term,</w:t>
      </w:r>
      <w:r w:rsidR="00C968F8">
        <w:rPr>
          <w:rFonts w:hint="eastAsia"/>
          <w:iCs/>
        </w:rPr>
        <w:t xml:space="preserve"> </w:t>
      </w:r>
      <w:r w:rsidRPr="00D51C66">
        <w:rPr>
          <w:iCs/>
        </w:rPr>
        <w:t>we handle the standard error based on</w:t>
      </w:r>
      <w:r w:rsidR="00C968F8">
        <w:rPr>
          <w:rFonts w:hint="eastAsia"/>
          <w:iCs/>
        </w:rPr>
        <w:t xml:space="preserve"> </w:t>
      </w:r>
      <w:r w:rsidR="009058CC">
        <w:rPr>
          <w:rFonts w:hint="eastAsia"/>
          <w:iCs/>
        </w:rPr>
        <w:t>the</w:t>
      </w:r>
      <w:r w:rsidRPr="00D51C66">
        <w:rPr>
          <w:iCs/>
        </w:rPr>
        <w:t xml:space="preserve"> method of White</w:t>
      </w:r>
      <w:r w:rsidR="00C968F8">
        <w:rPr>
          <w:rFonts w:hint="eastAsia"/>
          <w:iCs/>
        </w:rPr>
        <w:t xml:space="preserve"> </w:t>
      </w:r>
      <w:r w:rsidRPr="00D51C66">
        <w:rPr>
          <w:iCs/>
        </w:rPr>
        <w:t>(1980). The result of every model</w:t>
      </w:r>
      <w:r w:rsidR="00C968F8">
        <w:rPr>
          <w:rFonts w:hint="eastAsia"/>
          <w:iCs/>
        </w:rPr>
        <w:t xml:space="preserve"> </w:t>
      </w:r>
      <w:r w:rsidRPr="00D51C66">
        <w:rPr>
          <w:iCs/>
        </w:rPr>
        <w:t>is shown in each table, and all models have high explanatory power.</w:t>
      </w:r>
    </w:p>
    <w:p w:rsidR="00F429CB" w:rsidRPr="00BF34B6" w:rsidRDefault="00F429CB" w:rsidP="001F0251">
      <w:pPr>
        <w:ind w:firstLine="416"/>
        <w:rPr>
          <w:iCs/>
          <w:spacing w:val="-1"/>
        </w:rPr>
      </w:pPr>
      <w:r w:rsidRPr="00BF34B6">
        <w:rPr>
          <w:iCs/>
          <w:spacing w:val="-1"/>
        </w:rPr>
        <w:t>With respect to H1, the number of subsidiaries (</w:t>
      </w:r>
      <w:r w:rsidRPr="005B61FE">
        <w:rPr>
          <w:iCs/>
          <w:spacing w:val="-1"/>
        </w:rPr>
        <w:t>ln</w:t>
      </w:r>
      <w:r w:rsidRPr="00BF34B6">
        <w:rPr>
          <w:i/>
          <w:iCs/>
          <w:spacing w:val="-1"/>
        </w:rPr>
        <w:t>_</w:t>
      </w:r>
      <w:r w:rsidR="005B61FE">
        <w:rPr>
          <w:rFonts w:hint="eastAsia"/>
          <w:i/>
          <w:iCs/>
          <w:spacing w:val="-1"/>
        </w:rPr>
        <w:t>S</w:t>
      </w:r>
      <w:r w:rsidRPr="00BF34B6">
        <w:rPr>
          <w:i/>
          <w:iCs/>
          <w:spacing w:val="-1"/>
        </w:rPr>
        <w:t>ubsidiary</w:t>
      </w:r>
      <w:r w:rsidRPr="005B61FE">
        <w:rPr>
          <w:iCs/>
          <w:spacing w:val="-1"/>
        </w:rPr>
        <w:t>)</w:t>
      </w:r>
      <w:r w:rsidRPr="00BF34B6">
        <w:rPr>
          <w:iCs/>
          <w:spacing w:val="-1"/>
        </w:rPr>
        <w:t xml:space="preserve"> is almost significantly negative. Organizations with higher complexity are more poorly evaluated by investors because of information asymmetry between inside and outside the company. On the other hand, CAR is high when the companies extend overseas business positively and the </w:t>
      </w:r>
      <w:r w:rsidRPr="00BF34B6">
        <w:rPr>
          <w:spacing w:val="-1"/>
        </w:rPr>
        <w:t xml:space="preserve">ratio of overseas sales is high. For </w:t>
      </w:r>
      <w:r w:rsidRPr="00BF34B6">
        <w:rPr>
          <w:iCs/>
          <w:spacing w:val="-1"/>
        </w:rPr>
        <w:t xml:space="preserve">companies to which TPT is applied, the </w:t>
      </w:r>
      <w:r w:rsidRPr="00BF34B6">
        <w:rPr>
          <w:spacing w:val="-1"/>
        </w:rPr>
        <w:t>ratio of overseas sales</w:t>
      </w:r>
      <w:r w:rsidRPr="00BF34B6">
        <w:rPr>
          <w:iCs/>
          <w:spacing w:val="-1"/>
        </w:rPr>
        <w:t xml:space="preserve"> is</w:t>
      </w:r>
      <w:r w:rsidR="005B61FE">
        <w:rPr>
          <w:rFonts w:hint="eastAsia"/>
          <w:iCs/>
          <w:spacing w:val="-1"/>
        </w:rPr>
        <w:t>,</w:t>
      </w:r>
      <w:r w:rsidRPr="00BF34B6">
        <w:rPr>
          <w:iCs/>
          <w:spacing w:val="-1"/>
        </w:rPr>
        <w:t xml:space="preserve"> on average</w:t>
      </w:r>
      <w:r w:rsidR="005B61FE">
        <w:rPr>
          <w:rFonts w:hint="eastAsia"/>
          <w:iCs/>
          <w:spacing w:val="-1"/>
        </w:rPr>
        <w:t>,</w:t>
      </w:r>
      <w:r w:rsidRPr="00BF34B6">
        <w:rPr>
          <w:iCs/>
          <w:spacing w:val="-1"/>
        </w:rPr>
        <w:t xml:space="preserve"> approximately 50%;</w:t>
      </w:r>
      <w:r w:rsidR="005B61FE">
        <w:rPr>
          <w:rFonts w:hint="eastAsia"/>
          <w:iCs/>
          <w:spacing w:val="-1"/>
        </w:rPr>
        <w:t xml:space="preserve"> </w:t>
      </w:r>
      <w:r w:rsidRPr="00BF34B6">
        <w:rPr>
          <w:iCs/>
          <w:spacing w:val="-1"/>
        </w:rPr>
        <w:t>because the companies are expected to continue developing overseas</w:t>
      </w:r>
      <w:r w:rsidR="005B61FE">
        <w:rPr>
          <w:rFonts w:hint="eastAsia"/>
          <w:iCs/>
          <w:spacing w:val="-1"/>
        </w:rPr>
        <w:t xml:space="preserve"> </w:t>
      </w:r>
      <w:r w:rsidRPr="00BF34B6">
        <w:rPr>
          <w:iCs/>
          <w:spacing w:val="-1"/>
        </w:rPr>
        <w:t>in the future, their</w:t>
      </w:r>
      <w:r w:rsidR="005B61FE">
        <w:rPr>
          <w:rFonts w:hint="eastAsia"/>
          <w:iCs/>
          <w:spacing w:val="-1"/>
        </w:rPr>
        <w:t xml:space="preserve"> </w:t>
      </w:r>
      <w:r w:rsidRPr="00BF34B6">
        <w:rPr>
          <w:iCs/>
          <w:spacing w:val="-1"/>
        </w:rPr>
        <w:t>evaluation is</w:t>
      </w:r>
      <w:r w:rsidR="005B61FE">
        <w:rPr>
          <w:rFonts w:hint="eastAsia"/>
          <w:iCs/>
          <w:spacing w:val="-1"/>
        </w:rPr>
        <w:t xml:space="preserve"> </w:t>
      </w:r>
      <w:r w:rsidRPr="00BF34B6">
        <w:rPr>
          <w:iCs/>
          <w:spacing w:val="-1"/>
        </w:rPr>
        <w:t>high. Thus, merely having high organizational complexity does not make the evaluations fall, even if such companies’ organizations</w:t>
      </w:r>
      <w:r w:rsidR="005B61FE">
        <w:rPr>
          <w:rFonts w:hint="eastAsia"/>
          <w:iCs/>
          <w:spacing w:val="-1"/>
        </w:rPr>
        <w:t xml:space="preserve"> </w:t>
      </w:r>
      <w:r w:rsidRPr="00BF34B6">
        <w:rPr>
          <w:iCs/>
          <w:spacing w:val="-1"/>
        </w:rPr>
        <w:t>are</w:t>
      </w:r>
      <w:r w:rsidR="005B61FE">
        <w:rPr>
          <w:rFonts w:hint="eastAsia"/>
          <w:iCs/>
          <w:spacing w:val="-1"/>
        </w:rPr>
        <w:t xml:space="preserve"> </w:t>
      </w:r>
      <w:r w:rsidRPr="00BF34B6">
        <w:rPr>
          <w:iCs/>
          <w:spacing w:val="-1"/>
        </w:rPr>
        <w:t>complicated. Besides,</w:t>
      </w:r>
      <w:r w:rsidR="005B61FE">
        <w:rPr>
          <w:rFonts w:hint="eastAsia"/>
          <w:iCs/>
          <w:spacing w:val="-1"/>
        </w:rPr>
        <w:t xml:space="preserve"> </w:t>
      </w:r>
      <w:r w:rsidRPr="00BF34B6">
        <w:rPr>
          <w:iCs/>
          <w:spacing w:val="-1"/>
        </w:rPr>
        <w:t>we find that</w:t>
      </w:r>
      <w:r w:rsidR="005B61FE">
        <w:rPr>
          <w:rFonts w:hint="eastAsia"/>
          <w:iCs/>
          <w:spacing w:val="-1"/>
        </w:rPr>
        <w:t xml:space="preserve"> </w:t>
      </w:r>
      <w:r w:rsidRPr="00BF34B6">
        <w:rPr>
          <w:iCs/>
          <w:spacing w:val="-1"/>
        </w:rPr>
        <w:t>the investors do not lower the evaluation of such a company even if they develop overseas business for the potential growth. At the same time, from leverage</w:t>
      </w:r>
      <w:r w:rsidR="005B61FE">
        <w:rPr>
          <w:rFonts w:hint="eastAsia"/>
          <w:iCs/>
          <w:spacing w:val="-1"/>
        </w:rPr>
        <w:t xml:space="preserve"> </w:t>
      </w:r>
      <w:r w:rsidRPr="005B61FE">
        <w:rPr>
          <w:iCs/>
          <w:spacing w:val="-1"/>
        </w:rPr>
        <w:t>(</w:t>
      </w:r>
      <w:r w:rsidRPr="00BF34B6">
        <w:rPr>
          <w:i/>
          <w:spacing w:val="-1"/>
        </w:rPr>
        <w:t>Leverage</w:t>
      </w:r>
      <w:r w:rsidRPr="005B61FE">
        <w:rPr>
          <w:iCs/>
          <w:spacing w:val="-1"/>
        </w:rPr>
        <w:t>)</w:t>
      </w:r>
      <w:r w:rsidR="005B61FE" w:rsidRPr="005B61FE">
        <w:rPr>
          <w:rFonts w:hint="eastAsia"/>
          <w:iCs/>
          <w:spacing w:val="-1"/>
        </w:rPr>
        <w:t xml:space="preserve"> </w:t>
      </w:r>
      <w:r w:rsidRPr="005B61FE">
        <w:rPr>
          <w:iCs/>
          <w:spacing w:val="-1"/>
        </w:rPr>
        <w:t>b</w:t>
      </w:r>
      <w:r w:rsidRPr="00BF34B6">
        <w:rPr>
          <w:iCs/>
          <w:spacing w:val="-1"/>
        </w:rPr>
        <w:t>eing almost significantly positive in all panels, leverage</w:t>
      </w:r>
      <w:r w:rsidR="005B61FE">
        <w:rPr>
          <w:rFonts w:hint="eastAsia"/>
          <w:iCs/>
          <w:spacing w:val="-1"/>
        </w:rPr>
        <w:t xml:space="preserve"> </w:t>
      </w:r>
      <w:r w:rsidRPr="00BF34B6">
        <w:rPr>
          <w:iCs/>
          <w:spacing w:val="-1"/>
        </w:rPr>
        <w:t>is evaluated positively in a market as that</w:t>
      </w:r>
      <w:r w:rsidR="005B61FE">
        <w:rPr>
          <w:rFonts w:hint="eastAsia"/>
          <w:iCs/>
          <w:spacing w:val="-1"/>
        </w:rPr>
        <w:t xml:space="preserve"> </w:t>
      </w:r>
      <w:r w:rsidRPr="00BF34B6">
        <w:rPr>
          <w:iCs/>
          <w:spacing w:val="-1"/>
        </w:rPr>
        <w:t>the</w:t>
      </w:r>
      <w:r w:rsidR="005B61FE">
        <w:rPr>
          <w:rFonts w:hint="eastAsia"/>
          <w:iCs/>
          <w:spacing w:val="-1"/>
        </w:rPr>
        <w:t xml:space="preserve"> </w:t>
      </w:r>
      <w:r w:rsidRPr="00BF34B6">
        <w:rPr>
          <w:iCs/>
          <w:spacing w:val="-1"/>
        </w:rPr>
        <w:t>company is actively working toward</w:t>
      </w:r>
      <w:r w:rsidR="005B61FE">
        <w:rPr>
          <w:rFonts w:hint="eastAsia"/>
          <w:iCs/>
          <w:spacing w:val="-1"/>
        </w:rPr>
        <w:t>s</w:t>
      </w:r>
      <w:r w:rsidRPr="00BF34B6">
        <w:rPr>
          <w:iCs/>
          <w:spacing w:val="-1"/>
        </w:rPr>
        <w:t xml:space="preserve"> tax savings.</w:t>
      </w:r>
    </w:p>
    <w:p w:rsidR="00F429CB" w:rsidRPr="00D51C66" w:rsidRDefault="00F429CB" w:rsidP="001F0251">
      <w:pPr>
        <w:ind w:firstLine="420"/>
        <w:rPr>
          <w:b/>
          <w:iCs/>
        </w:rPr>
      </w:pPr>
      <w:r w:rsidRPr="00D51C66">
        <w:rPr>
          <w:iCs/>
        </w:rPr>
        <w:t>With respect to H2, interpretation of intangibles (</w:t>
      </w:r>
      <w:r w:rsidRPr="00D51C66">
        <w:rPr>
          <w:i/>
          <w:spacing w:val="2"/>
        </w:rPr>
        <w:t>Intangibles</w:t>
      </w:r>
      <w:r w:rsidRPr="005B61FE">
        <w:rPr>
          <w:spacing w:val="2"/>
        </w:rPr>
        <w:t>)</w:t>
      </w:r>
      <w:r w:rsidR="005B61FE" w:rsidRPr="005B61FE">
        <w:rPr>
          <w:rFonts w:hint="eastAsia"/>
          <w:spacing w:val="2"/>
        </w:rPr>
        <w:t xml:space="preserve"> </w:t>
      </w:r>
      <w:r w:rsidRPr="005B61FE">
        <w:rPr>
          <w:iCs/>
        </w:rPr>
        <w:t>i</w:t>
      </w:r>
      <w:r w:rsidRPr="00D51C66">
        <w:rPr>
          <w:iCs/>
        </w:rPr>
        <w:t>s difficult. Because transparency with the outside decreases with increasing intangibles,</w:t>
      </w:r>
      <w:r w:rsidR="005B61FE">
        <w:rPr>
          <w:rFonts w:hint="eastAsia"/>
          <w:iCs/>
        </w:rPr>
        <w:t xml:space="preserve"> </w:t>
      </w:r>
      <w:r w:rsidRPr="00D51C66">
        <w:rPr>
          <w:iCs/>
        </w:rPr>
        <w:t>it is easy for distrust to arise in the case of the application of TPT.</w:t>
      </w:r>
      <w:r w:rsidR="005B61FE">
        <w:rPr>
          <w:rFonts w:hint="eastAsia"/>
          <w:iCs/>
        </w:rPr>
        <w:t xml:space="preserve"> </w:t>
      </w:r>
      <w:r w:rsidRPr="00D51C66">
        <w:rPr>
          <w:iCs/>
        </w:rPr>
        <w:t>Intangible fixed assets on the balance sheet</w:t>
      </w:r>
      <w:r w:rsidR="005B61FE">
        <w:rPr>
          <w:rFonts w:hint="eastAsia"/>
          <w:iCs/>
        </w:rPr>
        <w:t xml:space="preserve"> </w:t>
      </w:r>
      <w:r w:rsidRPr="00D51C66">
        <w:rPr>
          <w:iCs/>
        </w:rPr>
        <w:t xml:space="preserve">are almost significantly negative. On the other hand, </w:t>
      </w:r>
      <w:r w:rsidRPr="00D51C66">
        <w:rPr>
          <w:spacing w:val="2"/>
        </w:rPr>
        <w:t>the R&amp;D-to-sales ratio (</w:t>
      </w:r>
      <w:r w:rsidRPr="00D51C66">
        <w:rPr>
          <w:i/>
          <w:spacing w:val="2"/>
        </w:rPr>
        <w:t>Rd</w:t>
      </w:r>
      <w:r w:rsidRPr="005B61FE">
        <w:rPr>
          <w:spacing w:val="2"/>
        </w:rPr>
        <w:t>)</w:t>
      </w:r>
      <w:r w:rsidR="005B61FE" w:rsidRPr="005B61FE">
        <w:rPr>
          <w:rFonts w:hint="eastAsia"/>
          <w:spacing w:val="2"/>
        </w:rPr>
        <w:t xml:space="preserve"> </w:t>
      </w:r>
      <w:r w:rsidRPr="005B61FE">
        <w:rPr>
          <w:iCs/>
        </w:rPr>
        <w:t>i</w:t>
      </w:r>
      <w:r w:rsidRPr="00D51C66">
        <w:rPr>
          <w:iCs/>
        </w:rPr>
        <w:t>s not significant. Although</w:t>
      </w:r>
      <w:r w:rsidR="005B61FE">
        <w:rPr>
          <w:rFonts w:hint="eastAsia"/>
          <w:iCs/>
        </w:rPr>
        <w:t xml:space="preserve"> </w:t>
      </w:r>
      <w:r w:rsidRPr="00D51C66">
        <w:rPr>
          <w:iCs/>
        </w:rPr>
        <w:t>intangible fixed assets on the balance sheet are almost significantly negative, companies to which TPT is applied may not be invested in the market due to lack of transparency.</w:t>
      </w:r>
    </w:p>
    <w:p w:rsidR="00D51C66" w:rsidRPr="00A701F7" w:rsidRDefault="00D51C66" w:rsidP="001F0251">
      <w:pPr>
        <w:adjustRightInd w:val="0"/>
        <w:snapToGrid w:val="0"/>
        <w:ind w:firstLineChars="0" w:firstLine="0"/>
        <w:jc w:val="left"/>
        <w:rPr>
          <w:sz w:val="12"/>
        </w:rPr>
      </w:pPr>
    </w:p>
    <w:p w:rsidR="00D51C66" w:rsidRPr="00D51C66" w:rsidRDefault="00D51C66" w:rsidP="001F0251">
      <w:pPr>
        <w:pStyle w:val="aff"/>
        <w:wordWrap/>
        <w:adjustRightInd/>
        <w:jc w:val="both"/>
        <w:rPr>
          <w:rFonts w:eastAsiaTheme="minorEastAsia" w:cs="Times New Roman"/>
          <w:b w:val="0"/>
          <w:lang w:eastAsia="zh-CN"/>
        </w:rPr>
      </w:pPr>
      <w:r w:rsidRPr="00D51C66">
        <w:rPr>
          <w:rFonts w:cs="Times New Roman"/>
          <w:b w:val="0"/>
        </w:rPr>
        <w:t>Table 4</w:t>
      </w:r>
    </w:p>
    <w:p w:rsidR="00D51C66" w:rsidRPr="00D51C66" w:rsidRDefault="00D51C66" w:rsidP="001F0251">
      <w:pPr>
        <w:pStyle w:val="aff"/>
        <w:wordWrap/>
        <w:adjustRightInd/>
        <w:jc w:val="both"/>
        <w:rPr>
          <w:rFonts w:cs="Times New Roman"/>
          <w:b w:val="0"/>
          <w:i/>
        </w:rPr>
      </w:pPr>
      <w:r w:rsidRPr="00D51C66">
        <w:rPr>
          <w:rFonts w:cs="Times New Roman"/>
          <w:b w:val="0"/>
          <w:i/>
        </w:rPr>
        <w:t>Results With ETR as the TAX Variable</w:t>
      </w:r>
    </w:p>
    <w:tbl>
      <w:tblPr>
        <w:tblStyle w:val="13"/>
        <w:tblW w:w="9412" w:type="dxa"/>
        <w:jc w:val="center"/>
        <w:tblCellMar>
          <w:left w:w="28" w:type="dxa"/>
          <w:right w:w="28" w:type="dxa"/>
        </w:tblCellMar>
        <w:tblLook w:val="00A0"/>
      </w:tblPr>
      <w:tblGrid>
        <w:gridCol w:w="1276"/>
        <w:gridCol w:w="992"/>
        <w:gridCol w:w="850"/>
        <w:gridCol w:w="851"/>
        <w:gridCol w:w="142"/>
        <w:gridCol w:w="850"/>
        <w:gridCol w:w="851"/>
        <w:gridCol w:w="157"/>
        <w:gridCol w:w="843"/>
        <w:gridCol w:w="843"/>
        <w:gridCol w:w="160"/>
        <w:gridCol w:w="798"/>
        <w:gridCol w:w="799"/>
      </w:tblGrid>
      <w:tr w:rsidR="00C968F8" w:rsidRPr="00D51C66" w:rsidTr="00C968F8">
        <w:trPr>
          <w:cnfStyle w:val="100000000000"/>
          <w:trHeight w:val="255"/>
          <w:jc w:val="center"/>
        </w:trPr>
        <w:tc>
          <w:tcPr>
            <w:cnfStyle w:val="001000000000"/>
            <w:tcW w:w="1276" w:type="dxa"/>
            <w:vMerge w:val="restart"/>
            <w:tcBorders>
              <w:top w:val="single" w:sz="12" w:space="0" w:color="000000" w:themeColor="text1"/>
            </w:tcBorders>
            <w:shd w:val="clear" w:color="auto" w:fill="auto"/>
            <w:vAlign w:val="center"/>
          </w:tcPr>
          <w:p w:rsidR="00C968F8" w:rsidRPr="00C968F8" w:rsidRDefault="00C968F8" w:rsidP="001F0251">
            <w:pPr>
              <w:adjustRightInd w:val="0"/>
              <w:snapToGrid w:val="0"/>
              <w:ind w:firstLineChars="0" w:firstLine="0"/>
              <w:rPr>
                <w:rFonts w:eastAsiaTheme="minorEastAsia"/>
                <w:b w:val="0"/>
                <w:sz w:val="18"/>
                <w:szCs w:val="18"/>
                <w:lang w:eastAsia="zh-CN"/>
              </w:rPr>
            </w:pPr>
            <w:r>
              <w:rPr>
                <w:rFonts w:eastAsiaTheme="minorEastAsia" w:hint="eastAsia"/>
                <w:b w:val="0"/>
                <w:sz w:val="18"/>
                <w:szCs w:val="18"/>
                <w:lang w:eastAsia="zh-CN"/>
              </w:rPr>
              <w:t>Variable</w:t>
            </w:r>
          </w:p>
        </w:tc>
        <w:tc>
          <w:tcPr>
            <w:cnfStyle w:val="000010000000"/>
            <w:tcW w:w="992" w:type="dxa"/>
            <w:vMerge w:val="restart"/>
            <w:tcBorders>
              <w:top w:val="single" w:sz="12" w:space="0" w:color="000000" w:themeColor="text1"/>
            </w:tcBorders>
            <w:shd w:val="clear" w:color="auto" w:fill="auto"/>
            <w:vAlign w:val="center"/>
          </w:tcPr>
          <w:p w:rsidR="00C968F8" w:rsidRPr="00F429CB" w:rsidRDefault="00C968F8" w:rsidP="001F0251">
            <w:pPr>
              <w:adjustRightInd w:val="0"/>
              <w:snapToGrid w:val="0"/>
              <w:ind w:firstLineChars="0" w:firstLine="0"/>
              <w:rPr>
                <w:rFonts w:eastAsiaTheme="minorEastAsia"/>
                <w:b w:val="0"/>
                <w:sz w:val="18"/>
                <w:szCs w:val="18"/>
                <w:lang w:eastAsia="zh-CN"/>
              </w:rPr>
            </w:pPr>
            <w:r w:rsidRPr="00C968F8">
              <w:rPr>
                <w:rFonts w:eastAsia="MS PGothic"/>
                <w:b w:val="0"/>
                <w:sz w:val="18"/>
                <w:szCs w:val="18"/>
              </w:rPr>
              <w:t xml:space="preserve">Predicted </w:t>
            </w:r>
            <w:r w:rsidR="00F429CB" w:rsidRPr="00C968F8">
              <w:rPr>
                <w:rFonts w:eastAsia="MS PGothic"/>
                <w:b w:val="0"/>
                <w:sz w:val="18"/>
                <w:szCs w:val="18"/>
              </w:rPr>
              <w:t>sign</w:t>
            </w:r>
          </w:p>
        </w:tc>
        <w:tc>
          <w:tcPr>
            <w:tcW w:w="1701" w:type="dxa"/>
            <w:gridSpan w:val="2"/>
            <w:tcBorders>
              <w:top w:val="single" w:sz="12" w:space="0" w:color="000000" w:themeColor="text1"/>
              <w:bottom w:val="single" w:sz="4" w:space="0" w:color="000000" w:themeColor="text1"/>
            </w:tcBorders>
            <w:shd w:val="clear" w:color="auto" w:fill="auto"/>
            <w:vAlign w:val="center"/>
          </w:tcPr>
          <w:p w:rsidR="00C968F8" w:rsidRPr="00D51C66" w:rsidRDefault="00C968F8" w:rsidP="001F0251">
            <w:pPr>
              <w:adjustRightInd w:val="0"/>
              <w:snapToGrid w:val="0"/>
              <w:ind w:firstLineChars="0" w:firstLine="0"/>
              <w:jc w:val="center"/>
              <w:cnfStyle w:val="100000000000"/>
              <w:rPr>
                <w:rFonts w:eastAsia="MS PGothic"/>
                <w:b w:val="0"/>
                <w:sz w:val="18"/>
                <w:szCs w:val="18"/>
              </w:rPr>
            </w:pPr>
            <w:r w:rsidRPr="00D51C66">
              <w:rPr>
                <w:rFonts w:eastAsia="MS PGothic"/>
                <w:b w:val="0"/>
                <w:sz w:val="18"/>
                <w:szCs w:val="18"/>
              </w:rPr>
              <w:t>Model 1</w:t>
            </w:r>
          </w:p>
        </w:tc>
        <w:tc>
          <w:tcPr>
            <w:cnfStyle w:val="000010000000"/>
            <w:tcW w:w="142" w:type="dxa"/>
            <w:tcBorders>
              <w:top w:val="single" w:sz="12" w:space="0" w:color="000000" w:themeColor="text1"/>
              <w:bottom w:val="nil"/>
            </w:tcBorders>
            <w:shd w:val="clear" w:color="auto" w:fill="auto"/>
            <w:vAlign w:val="center"/>
          </w:tcPr>
          <w:p w:rsidR="00C968F8" w:rsidRPr="00D51C66" w:rsidRDefault="00C968F8" w:rsidP="001F0251">
            <w:pPr>
              <w:adjustRightInd w:val="0"/>
              <w:snapToGrid w:val="0"/>
              <w:ind w:firstLineChars="0" w:firstLine="0"/>
              <w:jc w:val="center"/>
              <w:rPr>
                <w:rFonts w:eastAsia="MS PGothic"/>
                <w:bCs w:val="0"/>
                <w:sz w:val="18"/>
                <w:szCs w:val="18"/>
              </w:rPr>
            </w:pPr>
          </w:p>
        </w:tc>
        <w:tc>
          <w:tcPr>
            <w:tcW w:w="1701" w:type="dxa"/>
            <w:gridSpan w:val="2"/>
            <w:tcBorders>
              <w:top w:val="single" w:sz="12" w:space="0" w:color="000000" w:themeColor="text1"/>
              <w:bottom w:val="single" w:sz="4" w:space="0" w:color="000000" w:themeColor="text1"/>
            </w:tcBorders>
            <w:shd w:val="clear" w:color="auto" w:fill="auto"/>
            <w:vAlign w:val="center"/>
          </w:tcPr>
          <w:p w:rsidR="00C968F8" w:rsidRPr="00D51C66" w:rsidRDefault="00C968F8" w:rsidP="001F0251">
            <w:pPr>
              <w:adjustRightInd w:val="0"/>
              <w:snapToGrid w:val="0"/>
              <w:ind w:firstLineChars="0" w:firstLine="0"/>
              <w:jc w:val="center"/>
              <w:cnfStyle w:val="100000000000"/>
              <w:rPr>
                <w:rFonts w:eastAsia="MS PGothic"/>
                <w:b w:val="0"/>
                <w:sz w:val="18"/>
                <w:szCs w:val="18"/>
              </w:rPr>
            </w:pPr>
            <w:r w:rsidRPr="00D51C66">
              <w:rPr>
                <w:rFonts w:eastAsia="MS PGothic"/>
                <w:b w:val="0"/>
                <w:sz w:val="18"/>
                <w:szCs w:val="18"/>
              </w:rPr>
              <w:t>Model 2</w:t>
            </w:r>
          </w:p>
        </w:tc>
        <w:tc>
          <w:tcPr>
            <w:cnfStyle w:val="000010000000"/>
            <w:tcW w:w="157" w:type="dxa"/>
            <w:tcBorders>
              <w:top w:val="single" w:sz="12" w:space="0" w:color="000000" w:themeColor="text1"/>
              <w:bottom w:val="nil"/>
            </w:tcBorders>
            <w:shd w:val="clear" w:color="auto" w:fill="auto"/>
            <w:vAlign w:val="center"/>
          </w:tcPr>
          <w:p w:rsidR="00C968F8" w:rsidRPr="00D51C66" w:rsidRDefault="00C968F8" w:rsidP="001F0251">
            <w:pPr>
              <w:adjustRightInd w:val="0"/>
              <w:snapToGrid w:val="0"/>
              <w:ind w:firstLineChars="0" w:firstLine="0"/>
              <w:jc w:val="center"/>
              <w:rPr>
                <w:rFonts w:eastAsia="MS PGothic"/>
                <w:bCs w:val="0"/>
                <w:sz w:val="18"/>
                <w:szCs w:val="18"/>
              </w:rPr>
            </w:pPr>
          </w:p>
        </w:tc>
        <w:tc>
          <w:tcPr>
            <w:tcW w:w="1686" w:type="dxa"/>
            <w:gridSpan w:val="2"/>
            <w:tcBorders>
              <w:top w:val="single" w:sz="12" w:space="0" w:color="000000" w:themeColor="text1"/>
              <w:bottom w:val="single" w:sz="4" w:space="0" w:color="000000" w:themeColor="text1"/>
            </w:tcBorders>
            <w:shd w:val="clear" w:color="auto" w:fill="auto"/>
            <w:vAlign w:val="center"/>
          </w:tcPr>
          <w:p w:rsidR="00C968F8" w:rsidRPr="00D51C66" w:rsidRDefault="00C968F8" w:rsidP="001F0251">
            <w:pPr>
              <w:adjustRightInd w:val="0"/>
              <w:snapToGrid w:val="0"/>
              <w:ind w:firstLineChars="0" w:firstLine="0"/>
              <w:jc w:val="center"/>
              <w:cnfStyle w:val="100000000000"/>
              <w:rPr>
                <w:rFonts w:eastAsia="MS PGothic"/>
                <w:b w:val="0"/>
                <w:sz w:val="18"/>
                <w:szCs w:val="18"/>
              </w:rPr>
            </w:pPr>
            <w:r w:rsidRPr="00D51C66">
              <w:rPr>
                <w:rFonts w:eastAsia="MS PGothic"/>
                <w:b w:val="0"/>
                <w:sz w:val="18"/>
                <w:szCs w:val="18"/>
              </w:rPr>
              <w:t>Model 3</w:t>
            </w:r>
          </w:p>
        </w:tc>
        <w:tc>
          <w:tcPr>
            <w:cnfStyle w:val="000010000000"/>
            <w:tcW w:w="160" w:type="dxa"/>
            <w:tcBorders>
              <w:top w:val="single" w:sz="12" w:space="0" w:color="000000" w:themeColor="text1"/>
              <w:bottom w:val="nil"/>
            </w:tcBorders>
            <w:shd w:val="clear" w:color="auto" w:fill="auto"/>
            <w:vAlign w:val="center"/>
          </w:tcPr>
          <w:p w:rsidR="00C968F8" w:rsidRPr="00D51C66" w:rsidRDefault="00C968F8" w:rsidP="001F0251">
            <w:pPr>
              <w:adjustRightInd w:val="0"/>
              <w:snapToGrid w:val="0"/>
              <w:ind w:firstLineChars="0" w:firstLine="0"/>
              <w:jc w:val="center"/>
              <w:rPr>
                <w:rFonts w:eastAsia="MS PGothic"/>
                <w:bCs w:val="0"/>
                <w:sz w:val="18"/>
                <w:szCs w:val="18"/>
              </w:rPr>
            </w:pPr>
          </w:p>
        </w:tc>
        <w:tc>
          <w:tcPr>
            <w:tcW w:w="1597" w:type="dxa"/>
            <w:gridSpan w:val="2"/>
            <w:tcBorders>
              <w:top w:val="single" w:sz="12" w:space="0" w:color="000000" w:themeColor="text1"/>
              <w:bottom w:val="single" w:sz="4" w:space="0" w:color="000000" w:themeColor="text1"/>
            </w:tcBorders>
            <w:shd w:val="clear" w:color="auto" w:fill="auto"/>
            <w:vAlign w:val="center"/>
          </w:tcPr>
          <w:p w:rsidR="00C968F8" w:rsidRPr="00D51C66" w:rsidRDefault="00C968F8" w:rsidP="001F0251">
            <w:pPr>
              <w:adjustRightInd w:val="0"/>
              <w:snapToGrid w:val="0"/>
              <w:ind w:firstLineChars="0" w:firstLine="0"/>
              <w:jc w:val="center"/>
              <w:cnfStyle w:val="100000000000"/>
              <w:rPr>
                <w:rFonts w:eastAsia="MS PGothic"/>
                <w:b w:val="0"/>
                <w:sz w:val="18"/>
                <w:szCs w:val="18"/>
              </w:rPr>
            </w:pPr>
            <w:r w:rsidRPr="00D51C66">
              <w:rPr>
                <w:rFonts w:eastAsia="MS PGothic"/>
                <w:b w:val="0"/>
                <w:sz w:val="18"/>
                <w:szCs w:val="18"/>
              </w:rPr>
              <w:t>Model 4</w:t>
            </w:r>
          </w:p>
        </w:tc>
      </w:tr>
      <w:tr w:rsidR="00C968F8" w:rsidRPr="00D51C66" w:rsidTr="00C968F8">
        <w:trPr>
          <w:cnfStyle w:val="000000100000"/>
          <w:trHeight w:val="255"/>
          <w:jc w:val="center"/>
        </w:trPr>
        <w:tc>
          <w:tcPr>
            <w:cnfStyle w:val="001000000000"/>
            <w:tcW w:w="1276" w:type="dxa"/>
            <w:vMerge/>
            <w:tcBorders>
              <w:bottom w:val="single" w:sz="4" w:space="0" w:color="auto"/>
            </w:tcBorders>
            <w:shd w:val="clear" w:color="auto" w:fill="auto"/>
            <w:vAlign w:val="center"/>
          </w:tcPr>
          <w:p w:rsidR="00C968F8" w:rsidRPr="00D51C66" w:rsidRDefault="00C968F8" w:rsidP="001F0251">
            <w:pPr>
              <w:adjustRightInd w:val="0"/>
              <w:snapToGrid w:val="0"/>
              <w:ind w:firstLineChars="0" w:firstLine="0"/>
              <w:rPr>
                <w:rFonts w:eastAsia="MS PGothic"/>
                <w:b w:val="0"/>
                <w:sz w:val="18"/>
                <w:szCs w:val="18"/>
              </w:rPr>
            </w:pPr>
          </w:p>
        </w:tc>
        <w:tc>
          <w:tcPr>
            <w:cnfStyle w:val="000010000000"/>
            <w:tcW w:w="992" w:type="dxa"/>
            <w:vMerge/>
            <w:tcBorders>
              <w:bottom w:val="single" w:sz="4" w:space="0" w:color="auto"/>
            </w:tcBorders>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p>
        </w:tc>
        <w:tc>
          <w:tcPr>
            <w:tcW w:w="850" w:type="dxa"/>
            <w:tcBorders>
              <w:top w:val="single" w:sz="4" w:space="0" w:color="000000" w:themeColor="text1"/>
              <w:bottom w:val="single" w:sz="4" w:space="0" w:color="auto"/>
            </w:tcBorders>
            <w:shd w:val="clear" w:color="auto" w:fill="auto"/>
            <w:vAlign w:val="center"/>
          </w:tcPr>
          <w:p w:rsidR="00C968F8" w:rsidRPr="00D51C66" w:rsidRDefault="00C968F8" w:rsidP="001F0251">
            <w:pPr>
              <w:adjustRightInd w:val="0"/>
              <w:snapToGrid w:val="0"/>
              <w:ind w:firstLineChars="0" w:firstLine="0"/>
              <w:cnfStyle w:val="000000100000"/>
              <w:rPr>
                <w:rFonts w:eastAsia="MS PGothic"/>
                <w:sz w:val="18"/>
                <w:szCs w:val="18"/>
              </w:rPr>
            </w:pPr>
            <w:r w:rsidRPr="00D51C66">
              <w:rPr>
                <w:rFonts w:eastAsia="MS PGothic"/>
                <w:sz w:val="18"/>
                <w:szCs w:val="18"/>
              </w:rPr>
              <w:t>Coef.</w:t>
            </w:r>
          </w:p>
        </w:tc>
        <w:tc>
          <w:tcPr>
            <w:cnfStyle w:val="000010000000"/>
            <w:tcW w:w="851" w:type="dxa"/>
            <w:tcBorders>
              <w:top w:val="single" w:sz="4" w:space="0" w:color="000000" w:themeColor="text1"/>
              <w:bottom w:val="single" w:sz="4" w:space="0" w:color="auto"/>
            </w:tcBorders>
            <w:shd w:val="clear" w:color="auto" w:fill="auto"/>
            <w:vAlign w:val="center"/>
          </w:tcPr>
          <w:p w:rsidR="00C968F8" w:rsidRPr="00C968F8" w:rsidRDefault="00C968F8" w:rsidP="001F0251">
            <w:pPr>
              <w:adjustRightInd w:val="0"/>
              <w:snapToGrid w:val="0"/>
              <w:ind w:firstLineChars="0" w:firstLine="0"/>
              <w:rPr>
                <w:rFonts w:eastAsia="MS PGothic"/>
                <w:i/>
                <w:sz w:val="18"/>
                <w:szCs w:val="18"/>
              </w:rPr>
            </w:pPr>
            <w:r w:rsidRPr="00C968F8">
              <w:rPr>
                <w:rFonts w:eastAsia="MS PGothic"/>
                <w:i/>
                <w:sz w:val="18"/>
                <w:szCs w:val="18"/>
              </w:rPr>
              <w:t>z</w:t>
            </w:r>
          </w:p>
        </w:tc>
        <w:tc>
          <w:tcPr>
            <w:tcW w:w="142" w:type="dxa"/>
            <w:tcBorders>
              <w:top w:val="nil"/>
              <w:bottom w:val="single" w:sz="4" w:space="0" w:color="auto"/>
            </w:tcBorders>
            <w:shd w:val="clear" w:color="auto" w:fill="auto"/>
            <w:vAlign w:val="center"/>
          </w:tcPr>
          <w:p w:rsidR="00C968F8" w:rsidRPr="00C968F8" w:rsidRDefault="00C968F8" w:rsidP="001F0251">
            <w:pPr>
              <w:adjustRightInd w:val="0"/>
              <w:snapToGrid w:val="0"/>
              <w:ind w:firstLineChars="0" w:firstLine="0"/>
              <w:cnfStyle w:val="000000100000"/>
              <w:rPr>
                <w:rFonts w:eastAsia="MS PGothic"/>
                <w:i/>
                <w:sz w:val="18"/>
                <w:szCs w:val="18"/>
              </w:rPr>
            </w:pPr>
          </w:p>
        </w:tc>
        <w:tc>
          <w:tcPr>
            <w:cnfStyle w:val="000010000000"/>
            <w:tcW w:w="850" w:type="dxa"/>
            <w:tcBorders>
              <w:top w:val="single" w:sz="4" w:space="0" w:color="000000" w:themeColor="text1"/>
              <w:bottom w:val="single" w:sz="4" w:space="0" w:color="auto"/>
            </w:tcBorders>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r w:rsidRPr="00D51C66">
              <w:rPr>
                <w:rFonts w:eastAsia="MS PGothic"/>
                <w:sz w:val="18"/>
                <w:szCs w:val="18"/>
              </w:rPr>
              <w:t>Coef.</w:t>
            </w:r>
          </w:p>
        </w:tc>
        <w:tc>
          <w:tcPr>
            <w:tcW w:w="851" w:type="dxa"/>
            <w:tcBorders>
              <w:top w:val="single" w:sz="4" w:space="0" w:color="000000" w:themeColor="text1"/>
              <w:bottom w:val="single" w:sz="4" w:space="0" w:color="auto"/>
            </w:tcBorders>
            <w:shd w:val="clear" w:color="auto" w:fill="auto"/>
            <w:vAlign w:val="center"/>
          </w:tcPr>
          <w:p w:rsidR="00C968F8" w:rsidRPr="00C968F8" w:rsidRDefault="00C968F8" w:rsidP="001F0251">
            <w:pPr>
              <w:adjustRightInd w:val="0"/>
              <w:snapToGrid w:val="0"/>
              <w:ind w:firstLineChars="0" w:firstLine="0"/>
              <w:cnfStyle w:val="000000100000"/>
              <w:rPr>
                <w:rFonts w:eastAsia="MS PGothic"/>
                <w:i/>
                <w:sz w:val="18"/>
                <w:szCs w:val="18"/>
              </w:rPr>
            </w:pPr>
            <w:r w:rsidRPr="00C968F8">
              <w:rPr>
                <w:rFonts w:eastAsia="MS PGothic"/>
                <w:i/>
                <w:sz w:val="18"/>
                <w:szCs w:val="18"/>
              </w:rPr>
              <w:t>z</w:t>
            </w:r>
          </w:p>
        </w:tc>
        <w:tc>
          <w:tcPr>
            <w:cnfStyle w:val="000010000000"/>
            <w:tcW w:w="157" w:type="dxa"/>
            <w:tcBorders>
              <w:top w:val="nil"/>
              <w:bottom w:val="single" w:sz="4" w:space="0" w:color="auto"/>
            </w:tcBorders>
            <w:shd w:val="clear" w:color="auto" w:fill="auto"/>
            <w:vAlign w:val="center"/>
          </w:tcPr>
          <w:p w:rsidR="00C968F8" w:rsidRPr="00C968F8" w:rsidRDefault="00C968F8" w:rsidP="001F0251">
            <w:pPr>
              <w:adjustRightInd w:val="0"/>
              <w:snapToGrid w:val="0"/>
              <w:ind w:firstLineChars="0" w:firstLine="0"/>
              <w:rPr>
                <w:rFonts w:eastAsia="MS PGothic"/>
                <w:i/>
                <w:sz w:val="18"/>
                <w:szCs w:val="18"/>
              </w:rPr>
            </w:pPr>
          </w:p>
        </w:tc>
        <w:tc>
          <w:tcPr>
            <w:tcW w:w="843" w:type="dxa"/>
            <w:tcBorders>
              <w:top w:val="single" w:sz="4" w:space="0" w:color="000000" w:themeColor="text1"/>
              <w:bottom w:val="single" w:sz="4" w:space="0" w:color="auto"/>
            </w:tcBorders>
            <w:shd w:val="clear" w:color="auto" w:fill="auto"/>
            <w:vAlign w:val="center"/>
          </w:tcPr>
          <w:p w:rsidR="00C968F8" w:rsidRPr="00D51C66" w:rsidRDefault="00C968F8" w:rsidP="001F0251">
            <w:pPr>
              <w:adjustRightInd w:val="0"/>
              <w:snapToGrid w:val="0"/>
              <w:ind w:firstLineChars="0" w:firstLine="0"/>
              <w:cnfStyle w:val="000000100000"/>
              <w:rPr>
                <w:rFonts w:eastAsia="MS PGothic"/>
                <w:sz w:val="18"/>
                <w:szCs w:val="18"/>
              </w:rPr>
            </w:pPr>
            <w:r w:rsidRPr="00D51C66">
              <w:rPr>
                <w:rFonts w:eastAsia="MS PGothic"/>
                <w:sz w:val="18"/>
                <w:szCs w:val="18"/>
              </w:rPr>
              <w:t>Coef.</w:t>
            </w:r>
          </w:p>
        </w:tc>
        <w:tc>
          <w:tcPr>
            <w:cnfStyle w:val="000010000000"/>
            <w:tcW w:w="843" w:type="dxa"/>
            <w:tcBorders>
              <w:top w:val="single" w:sz="4" w:space="0" w:color="000000" w:themeColor="text1"/>
              <w:bottom w:val="single" w:sz="4" w:space="0" w:color="auto"/>
            </w:tcBorders>
            <w:shd w:val="clear" w:color="auto" w:fill="auto"/>
            <w:vAlign w:val="center"/>
          </w:tcPr>
          <w:p w:rsidR="00C968F8" w:rsidRPr="00C968F8" w:rsidRDefault="00C968F8" w:rsidP="001F0251">
            <w:pPr>
              <w:adjustRightInd w:val="0"/>
              <w:snapToGrid w:val="0"/>
              <w:ind w:firstLineChars="0" w:firstLine="0"/>
              <w:rPr>
                <w:rFonts w:eastAsia="MS PGothic"/>
                <w:i/>
                <w:sz w:val="18"/>
                <w:szCs w:val="18"/>
              </w:rPr>
            </w:pPr>
            <w:r w:rsidRPr="00C968F8">
              <w:rPr>
                <w:rFonts w:eastAsia="MS PGothic"/>
                <w:i/>
                <w:sz w:val="18"/>
                <w:szCs w:val="18"/>
              </w:rPr>
              <w:t>z</w:t>
            </w:r>
          </w:p>
        </w:tc>
        <w:tc>
          <w:tcPr>
            <w:tcW w:w="160" w:type="dxa"/>
            <w:tcBorders>
              <w:top w:val="nil"/>
              <w:bottom w:val="single" w:sz="4" w:space="0" w:color="auto"/>
            </w:tcBorders>
            <w:shd w:val="clear" w:color="auto" w:fill="auto"/>
            <w:vAlign w:val="center"/>
          </w:tcPr>
          <w:p w:rsidR="00C968F8" w:rsidRPr="00C968F8" w:rsidRDefault="00C968F8" w:rsidP="001F0251">
            <w:pPr>
              <w:adjustRightInd w:val="0"/>
              <w:snapToGrid w:val="0"/>
              <w:ind w:firstLineChars="0" w:firstLine="0"/>
              <w:cnfStyle w:val="000000100000"/>
              <w:rPr>
                <w:rFonts w:eastAsia="MS PGothic"/>
                <w:i/>
                <w:sz w:val="18"/>
                <w:szCs w:val="18"/>
              </w:rPr>
            </w:pPr>
          </w:p>
        </w:tc>
        <w:tc>
          <w:tcPr>
            <w:cnfStyle w:val="000010000000"/>
            <w:tcW w:w="798" w:type="dxa"/>
            <w:tcBorders>
              <w:top w:val="single" w:sz="4" w:space="0" w:color="000000" w:themeColor="text1"/>
              <w:bottom w:val="single" w:sz="4" w:space="0" w:color="auto"/>
            </w:tcBorders>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r w:rsidRPr="00D51C66">
              <w:rPr>
                <w:rFonts w:eastAsia="MS PGothic"/>
                <w:sz w:val="18"/>
                <w:szCs w:val="18"/>
              </w:rPr>
              <w:t>Coef.</w:t>
            </w:r>
          </w:p>
        </w:tc>
        <w:tc>
          <w:tcPr>
            <w:tcW w:w="799" w:type="dxa"/>
            <w:tcBorders>
              <w:top w:val="single" w:sz="4" w:space="0" w:color="000000" w:themeColor="text1"/>
              <w:bottom w:val="single" w:sz="4" w:space="0" w:color="auto"/>
            </w:tcBorders>
            <w:shd w:val="clear" w:color="auto" w:fill="auto"/>
            <w:vAlign w:val="center"/>
          </w:tcPr>
          <w:p w:rsidR="00C968F8" w:rsidRPr="00C968F8" w:rsidRDefault="00C968F8" w:rsidP="001F0251">
            <w:pPr>
              <w:adjustRightInd w:val="0"/>
              <w:snapToGrid w:val="0"/>
              <w:ind w:firstLineChars="0" w:firstLine="0"/>
              <w:cnfStyle w:val="000000100000"/>
              <w:rPr>
                <w:rFonts w:eastAsia="MS PGothic"/>
                <w:i/>
                <w:sz w:val="18"/>
                <w:szCs w:val="18"/>
              </w:rPr>
            </w:pPr>
            <w:r w:rsidRPr="00C968F8">
              <w:rPr>
                <w:rFonts w:eastAsia="MS PGothic"/>
                <w:i/>
                <w:sz w:val="18"/>
                <w:szCs w:val="18"/>
              </w:rPr>
              <w:t>z</w:t>
            </w:r>
          </w:p>
        </w:tc>
      </w:tr>
      <w:tr w:rsidR="00C968F8" w:rsidRPr="00D51C66" w:rsidTr="00C968F8">
        <w:trPr>
          <w:trHeight w:val="255"/>
          <w:jc w:val="center"/>
        </w:trPr>
        <w:tc>
          <w:tcPr>
            <w:cnfStyle w:val="001000000000"/>
            <w:tcW w:w="1276" w:type="dxa"/>
            <w:tcBorders>
              <w:top w:val="single" w:sz="4" w:space="0" w:color="auto"/>
              <w:bottom w:val="nil"/>
              <w:right w:val="nil"/>
            </w:tcBorders>
            <w:shd w:val="clear" w:color="auto" w:fill="auto"/>
            <w:vAlign w:val="center"/>
          </w:tcPr>
          <w:p w:rsidR="00C968F8" w:rsidRPr="00D51C66" w:rsidRDefault="00C968F8" w:rsidP="001F0251">
            <w:pPr>
              <w:adjustRightInd w:val="0"/>
              <w:snapToGrid w:val="0"/>
              <w:ind w:firstLineChars="0" w:firstLine="0"/>
              <w:rPr>
                <w:rFonts w:eastAsia="MS PGothic"/>
                <w:b w:val="0"/>
                <w:sz w:val="18"/>
                <w:szCs w:val="18"/>
              </w:rPr>
            </w:pPr>
            <w:r w:rsidRPr="00D51C66">
              <w:rPr>
                <w:rFonts w:eastAsia="MS PGothic"/>
                <w:b w:val="0"/>
                <w:sz w:val="18"/>
                <w:szCs w:val="18"/>
              </w:rPr>
              <w:t>ln_</w:t>
            </w:r>
            <w:r w:rsidRPr="00C968F8">
              <w:rPr>
                <w:rFonts w:eastAsiaTheme="minorEastAsia" w:hint="eastAsia"/>
                <w:b w:val="0"/>
                <w:i/>
                <w:sz w:val="18"/>
                <w:szCs w:val="18"/>
                <w:lang w:eastAsia="zh-CN"/>
              </w:rPr>
              <w:t>S</w:t>
            </w:r>
            <w:r w:rsidRPr="00C968F8">
              <w:rPr>
                <w:rFonts w:eastAsia="MS PGothic"/>
                <w:b w:val="0"/>
                <w:i/>
                <w:sz w:val="18"/>
                <w:szCs w:val="18"/>
              </w:rPr>
              <w:t>ubsidiary</w:t>
            </w:r>
          </w:p>
        </w:tc>
        <w:tc>
          <w:tcPr>
            <w:cnfStyle w:val="000010000000"/>
            <w:tcW w:w="992" w:type="dxa"/>
            <w:tcBorders>
              <w:top w:val="single" w:sz="4" w:space="0" w:color="auto"/>
            </w:tcBorders>
            <w:shd w:val="clear" w:color="auto" w:fill="auto"/>
            <w:vAlign w:val="center"/>
          </w:tcPr>
          <w:p w:rsidR="00C968F8" w:rsidRPr="00212AAA" w:rsidRDefault="00212AAA" w:rsidP="001F0251">
            <w:pPr>
              <w:adjustRightInd w:val="0"/>
              <w:snapToGrid w:val="0"/>
              <w:ind w:firstLineChars="0" w:firstLine="0"/>
              <w:rPr>
                <w:rFonts w:eastAsiaTheme="minorEastAsia" w:hint="eastAsia"/>
                <w:sz w:val="18"/>
                <w:szCs w:val="18"/>
                <w:lang w:eastAsia="zh-CN"/>
              </w:rPr>
            </w:pPr>
            <w:r>
              <w:rPr>
                <w:rFonts w:eastAsiaTheme="minorEastAsia" w:hint="eastAsia"/>
                <w:sz w:val="18"/>
                <w:szCs w:val="18"/>
                <w:lang w:eastAsia="zh-CN"/>
              </w:rPr>
              <w:t>-</w:t>
            </w:r>
          </w:p>
        </w:tc>
        <w:tc>
          <w:tcPr>
            <w:tcW w:w="850" w:type="dxa"/>
            <w:tcBorders>
              <w:top w:val="single" w:sz="4" w:space="0" w:color="auto"/>
              <w:left w:val="nil"/>
              <w:bottom w:val="nil"/>
              <w:right w:val="nil"/>
            </w:tcBorders>
            <w:shd w:val="clear" w:color="auto" w:fill="auto"/>
            <w:vAlign w:val="center"/>
          </w:tcPr>
          <w:p w:rsidR="00C968F8" w:rsidRPr="00C968F8" w:rsidRDefault="00C968F8" w:rsidP="001F0251">
            <w:pPr>
              <w:tabs>
                <w:tab w:val="decimal" w:pos="272"/>
              </w:tabs>
              <w:adjustRightInd w:val="0"/>
              <w:snapToGrid w:val="0"/>
              <w:ind w:firstLineChars="0" w:firstLine="0"/>
              <w:cnfStyle w:val="000000000000"/>
              <w:rPr>
                <w:rFonts w:eastAsia="MS PGothic"/>
                <w:sz w:val="18"/>
                <w:szCs w:val="18"/>
              </w:rPr>
            </w:pPr>
            <w:r w:rsidRPr="00C968F8">
              <w:rPr>
                <w:rFonts w:eastAsia="MS PGothic"/>
                <w:sz w:val="18"/>
                <w:szCs w:val="18"/>
              </w:rPr>
              <w:t>-0.793</w:t>
            </w:r>
          </w:p>
        </w:tc>
        <w:tc>
          <w:tcPr>
            <w:cnfStyle w:val="000010000000"/>
            <w:tcW w:w="851" w:type="dxa"/>
            <w:tcBorders>
              <w:top w:val="single" w:sz="4" w:space="0" w:color="auto"/>
            </w:tcBorders>
            <w:shd w:val="clear" w:color="auto" w:fill="auto"/>
            <w:vAlign w:val="center"/>
          </w:tcPr>
          <w:p w:rsidR="00C968F8" w:rsidRPr="00C968F8" w:rsidRDefault="00C968F8" w:rsidP="001F0251">
            <w:pPr>
              <w:tabs>
                <w:tab w:val="decimal" w:pos="170"/>
              </w:tabs>
              <w:adjustRightInd w:val="0"/>
              <w:snapToGrid w:val="0"/>
              <w:ind w:firstLineChars="0" w:firstLine="0"/>
              <w:rPr>
                <w:rFonts w:eastAsiaTheme="minorEastAsia"/>
                <w:sz w:val="18"/>
                <w:szCs w:val="18"/>
              </w:rPr>
            </w:pPr>
            <w:r w:rsidRPr="00C968F8">
              <w:rPr>
                <w:rFonts w:eastAsiaTheme="minorEastAsia"/>
                <w:sz w:val="18"/>
                <w:szCs w:val="18"/>
              </w:rPr>
              <w:t>-1.88</w:t>
            </w:r>
            <w:r w:rsidRPr="00F429CB">
              <w:rPr>
                <w:rFonts w:eastAsiaTheme="minorEastAsia"/>
                <w:sz w:val="18"/>
                <w:szCs w:val="18"/>
                <w:vertAlign w:val="superscript"/>
              </w:rPr>
              <w:t>*</w:t>
            </w:r>
          </w:p>
        </w:tc>
        <w:tc>
          <w:tcPr>
            <w:tcW w:w="142" w:type="dxa"/>
            <w:tcBorders>
              <w:top w:val="single" w:sz="4" w:space="0" w:color="auto"/>
              <w:left w:val="nil"/>
              <w:bottom w:val="nil"/>
              <w:right w:val="nil"/>
            </w:tcBorders>
            <w:shd w:val="clear" w:color="auto" w:fill="auto"/>
            <w:vAlign w:val="center"/>
          </w:tcPr>
          <w:p w:rsidR="00C968F8" w:rsidRPr="00D51C66" w:rsidRDefault="00C968F8" w:rsidP="001F0251">
            <w:pPr>
              <w:adjustRightInd w:val="0"/>
              <w:snapToGrid w:val="0"/>
              <w:ind w:firstLineChars="0" w:firstLine="0"/>
              <w:cnfStyle w:val="000000000000"/>
              <w:rPr>
                <w:rFonts w:eastAsia="MS PGothic"/>
                <w:sz w:val="18"/>
                <w:szCs w:val="18"/>
              </w:rPr>
            </w:pPr>
          </w:p>
        </w:tc>
        <w:tc>
          <w:tcPr>
            <w:cnfStyle w:val="000010000000"/>
            <w:tcW w:w="850" w:type="dxa"/>
            <w:tcBorders>
              <w:top w:val="single" w:sz="4" w:space="0" w:color="auto"/>
            </w:tcBorders>
            <w:shd w:val="clear" w:color="auto" w:fill="auto"/>
            <w:vAlign w:val="center"/>
          </w:tcPr>
          <w:p w:rsidR="00C968F8" w:rsidRPr="00F429CB" w:rsidRDefault="00C968F8" w:rsidP="001F0251">
            <w:pPr>
              <w:tabs>
                <w:tab w:val="decimal" w:pos="272"/>
              </w:tabs>
              <w:adjustRightInd w:val="0"/>
              <w:snapToGrid w:val="0"/>
              <w:ind w:firstLineChars="0" w:firstLine="0"/>
              <w:rPr>
                <w:rFonts w:eastAsia="MS PGothic"/>
                <w:sz w:val="18"/>
                <w:szCs w:val="18"/>
              </w:rPr>
            </w:pPr>
            <w:r w:rsidRPr="00F429CB">
              <w:rPr>
                <w:rFonts w:eastAsia="MS PGothic"/>
                <w:sz w:val="18"/>
                <w:szCs w:val="18"/>
              </w:rPr>
              <w:t>-0.548</w:t>
            </w:r>
          </w:p>
        </w:tc>
        <w:tc>
          <w:tcPr>
            <w:tcW w:w="851" w:type="dxa"/>
            <w:tcBorders>
              <w:top w:val="single" w:sz="4" w:space="0" w:color="auto"/>
              <w:left w:val="nil"/>
              <w:bottom w:val="nil"/>
              <w:right w:val="nil"/>
            </w:tcBorders>
            <w:shd w:val="clear" w:color="auto" w:fill="auto"/>
            <w:vAlign w:val="center"/>
          </w:tcPr>
          <w:p w:rsidR="00C968F8" w:rsidRPr="00C968F8" w:rsidRDefault="00C968F8" w:rsidP="001F0251">
            <w:pPr>
              <w:tabs>
                <w:tab w:val="decimal" w:pos="170"/>
              </w:tabs>
              <w:adjustRightInd w:val="0"/>
              <w:snapToGrid w:val="0"/>
              <w:ind w:firstLineChars="0" w:firstLine="0"/>
              <w:cnfStyle w:val="000000000000"/>
              <w:rPr>
                <w:rFonts w:eastAsiaTheme="minorEastAsia"/>
                <w:sz w:val="18"/>
                <w:szCs w:val="18"/>
              </w:rPr>
            </w:pPr>
            <w:r w:rsidRPr="00C968F8">
              <w:rPr>
                <w:rFonts w:eastAsiaTheme="minorEastAsia"/>
                <w:sz w:val="18"/>
                <w:szCs w:val="18"/>
              </w:rPr>
              <w:t>-1.45</w:t>
            </w:r>
          </w:p>
        </w:tc>
        <w:tc>
          <w:tcPr>
            <w:cnfStyle w:val="000010000000"/>
            <w:tcW w:w="157" w:type="dxa"/>
            <w:tcBorders>
              <w:top w:val="single" w:sz="4" w:space="0" w:color="auto"/>
            </w:tcBorders>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p>
        </w:tc>
        <w:tc>
          <w:tcPr>
            <w:tcW w:w="843" w:type="dxa"/>
            <w:tcBorders>
              <w:top w:val="single" w:sz="4" w:space="0" w:color="auto"/>
              <w:left w:val="nil"/>
              <w:bottom w:val="nil"/>
              <w:right w:val="nil"/>
            </w:tcBorders>
            <w:shd w:val="clear" w:color="auto" w:fill="auto"/>
            <w:vAlign w:val="center"/>
          </w:tcPr>
          <w:p w:rsidR="00C968F8" w:rsidRPr="00D51C66" w:rsidRDefault="00C968F8" w:rsidP="001F0251">
            <w:pPr>
              <w:tabs>
                <w:tab w:val="decimal" w:pos="272"/>
              </w:tabs>
              <w:adjustRightInd w:val="0"/>
              <w:snapToGrid w:val="0"/>
              <w:ind w:firstLineChars="0" w:firstLine="0"/>
              <w:cnfStyle w:val="000000000000"/>
              <w:rPr>
                <w:rFonts w:eastAsia="MS PGothic"/>
                <w:sz w:val="18"/>
                <w:szCs w:val="18"/>
              </w:rPr>
            </w:pPr>
            <w:r w:rsidRPr="00D51C66">
              <w:rPr>
                <w:rFonts w:eastAsia="MS PGothic"/>
                <w:sz w:val="18"/>
                <w:szCs w:val="18"/>
              </w:rPr>
              <w:t>-0.9312</w:t>
            </w:r>
          </w:p>
        </w:tc>
        <w:tc>
          <w:tcPr>
            <w:cnfStyle w:val="000010000000"/>
            <w:tcW w:w="843" w:type="dxa"/>
            <w:tcBorders>
              <w:top w:val="single" w:sz="4" w:space="0" w:color="auto"/>
            </w:tcBorders>
            <w:shd w:val="clear" w:color="auto" w:fill="auto"/>
            <w:vAlign w:val="center"/>
          </w:tcPr>
          <w:p w:rsidR="00C968F8" w:rsidRPr="00F429CB" w:rsidRDefault="00C968F8" w:rsidP="001F0251">
            <w:pPr>
              <w:tabs>
                <w:tab w:val="decimal" w:pos="170"/>
              </w:tabs>
              <w:adjustRightInd w:val="0"/>
              <w:snapToGrid w:val="0"/>
              <w:ind w:firstLineChars="0" w:firstLine="0"/>
              <w:rPr>
                <w:rFonts w:eastAsiaTheme="minorEastAsia"/>
                <w:sz w:val="18"/>
                <w:szCs w:val="18"/>
              </w:rPr>
            </w:pPr>
            <w:r w:rsidRPr="00F429CB">
              <w:rPr>
                <w:rFonts w:eastAsiaTheme="minorEastAsia"/>
                <w:sz w:val="18"/>
                <w:szCs w:val="18"/>
              </w:rPr>
              <w:t>-2.01</w:t>
            </w:r>
            <w:r w:rsidRPr="00F429CB">
              <w:rPr>
                <w:rFonts w:eastAsiaTheme="minorEastAsia"/>
                <w:sz w:val="18"/>
                <w:szCs w:val="18"/>
                <w:vertAlign w:val="superscript"/>
              </w:rPr>
              <w:t>**</w:t>
            </w:r>
          </w:p>
        </w:tc>
        <w:tc>
          <w:tcPr>
            <w:tcW w:w="160" w:type="dxa"/>
            <w:tcBorders>
              <w:top w:val="single" w:sz="4" w:space="0" w:color="auto"/>
              <w:left w:val="nil"/>
              <w:bottom w:val="nil"/>
              <w:right w:val="nil"/>
            </w:tcBorders>
            <w:shd w:val="clear" w:color="auto" w:fill="auto"/>
            <w:vAlign w:val="center"/>
          </w:tcPr>
          <w:p w:rsidR="00C968F8" w:rsidRPr="00D51C66" w:rsidRDefault="00C968F8" w:rsidP="001F0251">
            <w:pPr>
              <w:adjustRightInd w:val="0"/>
              <w:snapToGrid w:val="0"/>
              <w:ind w:firstLineChars="0" w:firstLine="0"/>
              <w:cnfStyle w:val="000000000000"/>
              <w:rPr>
                <w:rFonts w:eastAsia="MS PGothic"/>
                <w:sz w:val="18"/>
                <w:szCs w:val="18"/>
              </w:rPr>
            </w:pPr>
          </w:p>
        </w:tc>
        <w:tc>
          <w:tcPr>
            <w:cnfStyle w:val="000010000000"/>
            <w:tcW w:w="798" w:type="dxa"/>
            <w:tcBorders>
              <w:top w:val="single" w:sz="4" w:space="0" w:color="auto"/>
            </w:tcBorders>
            <w:shd w:val="clear" w:color="auto" w:fill="auto"/>
            <w:vAlign w:val="center"/>
          </w:tcPr>
          <w:p w:rsidR="00C968F8" w:rsidRPr="00F429CB" w:rsidRDefault="00C968F8" w:rsidP="001F0251">
            <w:pPr>
              <w:tabs>
                <w:tab w:val="decimal" w:pos="244"/>
              </w:tabs>
              <w:adjustRightInd w:val="0"/>
              <w:snapToGrid w:val="0"/>
              <w:ind w:firstLineChars="0" w:firstLine="0"/>
              <w:rPr>
                <w:rFonts w:eastAsia="MS PGothic"/>
                <w:sz w:val="18"/>
                <w:szCs w:val="18"/>
              </w:rPr>
            </w:pPr>
            <w:r w:rsidRPr="00F429CB">
              <w:rPr>
                <w:rFonts w:eastAsia="MS PGothic"/>
                <w:sz w:val="18"/>
                <w:szCs w:val="18"/>
              </w:rPr>
              <w:t>-1.031</w:t>
            </w:r>
          </w:p>
        </w:tc>
        <w:tc>
          <w:tcPr>
            <w:tcW w:w="799" w:type="dxa"/>
            <w:tcBorders>
              <w:top w:val="single" w:sz="4" w:space="0" w:color="auto"/>
              <w:left w:val="nil"/>
              <w:bottom w:val="nil"/>
            </w:tcBorders>
            <w:shd w:val="clear" w:color="auto" w:fill="auto"/>
            <w:vAlign w:val="center"/>
          </w:tcPr>
          <w:p w:rsidR="00C968F8" w:rsidRPr="00F429CB" w:rsidRDefault="00C968F8" w:rsidP="001F0251">
            <w:pPr>
              <w:tabs>
                <w:tab w:val="decimal" w:pos="170"/>
              </w:tabs>
              <w:adjustRightInd w:val="0"/>
              <w:snapToGrid w:val="0"/>
              <w:ind w:firstLineChars="0" w:firstLine="0"/>
              <w:cnfStyle w:val="000000000000"/>
              <w:rPr>
                <w:rFonts w:eastAsiaTheme="minorEastAsia"/>
                <w:sz w:val="18"/>
                <w:szCs w:val="18"/>
              </w:rPr>
            </w:pPr>
            <w:r w:rsidRPr="00F429CB">
              <w:rPr>
                <w:rFonts w:eastAsiaTheme="minorEastAsia"/>
                <w:sz w:val="18"/>
                <w:szCs w:val="18"/>
              </w:rPr>
              <w:t>-2.52</w:t>
            </w:r>
            <w:r w:rsidRPr="00F429CB">
              <w:rPr>
                <w:rFonts w:eastAsiaTheme="minorEastAsia"/>
                <w:sz w:val="18"/>
                <w:szCs w:val="18"/>
                <w:vertAlign w:val="superscript"/>
              </w:rPr>
              <w:t>**</w:t>
            </w:r>
          </w:p>
        </w:tc>
      </w:tr>
      <w:tr w:rsidR="00C968F8" w:rsidRPr="00D51C66" w:rsidTr="00C968F8">
        <w:trPr>
          <w:cnfStyle w:val="000000100000"/>
          <w:trHeight w:val="255"/>
          <w:jc w:val="center"/>
        </w:trPr>
        <w:tc>
          <w:tcPr>
            <w:cnfStyle w:val="001000000000"/>
            <w:tcW w:w="1276" w:type="dxa"/>
            <w:tcBorders>
              <w:top w:val="nil"/>
            </w:tcBorders>
            <w:shd w:val="clear" w:color="auto" w:fill="auto"/>
            <w:vAlign w:val="center"/>
          </w:tcPr>
          <w:p w:rsidR="00C968F8" w:rsidRPr="00C968F8" w:rsidRDefault="00C968F8" w:rsidP="001F0251">
            <w:pPr>
              <w:adjustRightInd w:val="0"/>
              <w:snapToGrid w:val="0"/>
              <w:ind w:firstLineChars="0" w:firstLine="0"/>
              <w:rPr>
                <w:rFonts w:eastAsia="MS PGothic"/>
                <w:b w:val="0"/>
                <w:i/>
                <w:sz w:val="18"/>
                <w:szCs w:val="18"/>
              </w:rPr>
            </w:pPr>
            <w:r w:rsidRPr="00C968F8">
              <w:rPr>
                <w:rFonts w:eastAsia="MS PGothic"/>
                <w:b w:val="0"/>
                <w:i/>
                <w:sz w:val="18"/>
                <w:szCs w:val="18"/>
              </w:rPr>
              <w:t>Foreignsales</w:t>
            </w:r>
          </w:p>
        </w:tc>
        <w:tc>
          <w:tcPr>
            <w:cnfStyle w:val="000010000000"/>
            <w:tcW w:w="992" w:type="dxa"/>
            <w:tcBorders>
              <w:top w:val="nil"/>
            </w:tcBorders>
            <w:shd w:val="clear" w:color="auto" w:fill="auto"/>
            <w:vAlign w:val="center"/>
          </w:tcPr>
          <w:p w:rsidR="00C968F8" w:rsidRPr="00F429CB" w:rsidRDefault="00F429CB" w:rsidP="001F0251">
            <w:pPr>
              <w:adjustRightInd w:val="0"/>
              <w:snapToGrid w:val="0"/>
              <w:ind w:firstLineChars="0" w:firstLine="0"/>
              <w:rPr>
                <w:rFonts w:eastAsiaTheme="minorEastAsia"/>
                <w:sz w:val="18"/>
                <w:szCs w:val="18"/>
                <w:lang w:eastAsia="zh-CN"/>
              </w:rPr>
            </w:pPr>
            <w:r>
              <w:rPr>
                <w:rFonts w:eastAsia="MS PGothic"/>
                <w:sz w:val="18"/>
                <w:szCs w:val="18"/>
              </w:rPr>
              <w:t>+/</w:t>
            </w:r>
            <w:r w:rsidR="00212AAA">
              <w:rPr>
                <w:rFonts w:eastAsiaTheme="minorEastAsia" w:hint="eastAsia"/>
                <w:sz w:val="18"/>
                <w:szCs w:val="18"/>
                <w:lang w:eastAsia="zh-CN"/>
              </w:rPr>
              <w:t>-</w:t>
            </w:r>
          </w:p>
        </w:tc>
        <w:tc>
          <w:tcPr>
            <w:tcW w:w="850" w:type="dxa"/>
            <w:tcBorders>
              <w:top w:val="nil"/>
            </w:tcBorders>
            <w:shd w:val="clear" w:color="auto" w:fill="auto"/>
            <w:vAlign w:val="center"/>
          </w:tcPr>
          <w:p w:rsidR="00C968F8" w:rsidRPr="00C968F8" w:rsidRDefault="00C968F8" w:rsidP="001F0251">
            <w:pPr>
              <w:tabs>
                <w:tab w:val="decimal" w:pos="272"/>
              </w:tabs>
              <w:adjustRightInd w:val="0"/>
              <w:snapToGrid w:val="0"/>
              <w:ind w:firstLineChars="0" w:firstLine="0"/>
              <w:cnfStyle w:val="000000100000"/>
              <w:rPr>
                <w:rFonts w:eastAsia="MS PGothic"/>
                <w:sz w:val="18"/>
                <w:szCs w:val="18"/>
              </w:rPr>
            </w:pPr>
            <w:r w:rsidRPr="00C968F8">
              <w:rPr>
                <w:rFonts w:eastAsia="MS PGothic"/>
                <w:sz w:val="18"/>
                <w:szCs w:val="18"/>
              </w:rPr>
              <w:t>5.187</w:t>
            </w:r>
          </w:p>
        </w:tc>
        <w:tc>
          <w:tcPr>
            <w:cnfStyle w:val="000010000000"/>
            <w:tcW w:w="851" w:type="dxa"/>
            <w:tcBorders>
              <w:top w:val="nil"/>
            </w:tcBorders>
            <w:shd w:val="clear" w:color="auto" w:fill="auto"/>
            <w:vAlign w:val="center"/>
          </w:tcPr>
          <w:p w:rsidR="00C968F8" w:rsidRPr="00C968F8" w:rsidRDefault="00C968F8" w:rsidP="001F0251">
            <w:pPr>
              <w:tabs>
                <w:tab w:val="decimal" w:pos="170"/>
              </w:tabs>
              <w:adjustRightInd w:val="0"/>
              <w:snapToGrid w:val="0"/>
              <w:ind w:firstLineChars="0" w:firstLine="0"/>
              <w:rPr>
                <w:rFonts w:eastAsiaTheme="minorEastAsia"/>
                <w:sz w:val="18"/>
                <w:szCs w:val="18"/>
              </w:rPr>
            </w:pPr>
            <w:r w:rsidRPr="00C968F8">
              <w:rPr>
                <w:rFonts w:eastAsiaTheme="minorEastAsia"/>
                <w:sz w:val="18"/>
                <w:szCs w:val="18"/>
              </w:rPr>
              <w:t>2.7</w:t>
            </w:r>
            <w:r w:rsidR="00FD3DF3">
              <w:rPr>
                <w:rFonts w:eastAsiaTheme="minorEastAsia" w:hint="eastAsia"/>
                <w:sz w:val="18"/>
                <w:szCs w:val="18"/>
                <w:lang w:eastAsia="zh-CN"/>
              </w:rPr>
              <w:t>0</w:t>
            </w:r>
            <w:r w:rsidRPr="00F429CB">
              <w:rPr>
                <w:rFonts w:eastAsiaTheme="minorEastAsia"/>
                <w:sz w:val="18"/>
                <w:szCs w:val="18"/>
                <w:vertAlign w:val="superscript"/>
              </w:rPr>
              <w:t>***</w:t>
            </w:r>
          </w:p>
        </w:tc>
        <w:tc>
          <w:tcPr>
            <w:tcW w:w="142" w:type="dxa"/>
            <w:tcBorders>
              <w:top w:val="nil"/>
            </w:tcBorders>
            <w:shd w:val="clear" w:color="auto" w:fill="auto"/>
            <w:vAlign w:val="center"/>
          </w:tcPr>
          <w:p w:rsidR="00C968F8" w:rsidRPr="00D51C66" w:rsidRDefault="00C968F8" w:rsidP="001F0251">
            <w:pPr>
              <w:adjustRightInd w:val="0"/>
              <w:snapToGrid w:val="0"/>
              <w:ind w:firstLineChars="0" w:firstLine="0"/>
              <w:cnfStyle w:val="000000100000"/>
              <w:rPr>
                <w:rFonts w:eastAsia="MS PGothic"/>
                <w:sz w:val="18"/>
                <w:szCs w:val="18"/>
              </w:rPr>
            </w:pPr>
          </w:p>
        </w:tc>
        <w:tc>
          <w:tcPr>
            <w:cnfStyle w:val="000010000000"/>
            <w:tcW w:w="850" w:type="dxa"/>
            <w:tcBorders>
              <w:top w:val="nil"/>
            </w:tcBorders>
            <w:shd w:val="clear" w:color="auto" w:fill="auto"/>
            <w:vAlign w:val="center"/>
          </w:tcPr>
          <w:p w:rsidR="00C968F8" w:rsidRPr="00F429CB" w:rsidRDefault="00C968F8" w:rsidP="001F0251">
            <w:pPr>
              <w:tabs>
                <w:tab w:val="decimal" w:pos="272"/>
              </w:tabs>
              <w:adjustRightInd w:val="0"/>
              <w:snapToGrid w:val="0"/>
              <w:ind w:firstLineChars="0" w:firstLine="0"/>
              <w:rPr>
                <w:rFonts w:eastAsia="MS PGothic"/>
                <w:sz w:val="18"/>
                <w:szCs w:val="18"/>
              </w:rPr>
            </w:pPr>
            <w:r w:rsidRPr="00F429CB">
              <w:rPr>
                <w:rFonts w:eastAsia="MS PGothic"/>
                <w:sz w:val="18"/>
                <w:szCs w:val="18"/>
              </w:rPr>
              <w:t>3.660</w:t>
            </w:r>
          </w:p>
        </w:tc>
        <w:tc>
          <w:tcPr>
            <w:tcW w:w="851" w:type="dxa"/>
            <w:tcBorders>
              <w:top w:val="nil"/>
            </w:tcBorders>
            <w:shd w:val="clear" w:color="auto" w:fill="auto"/>
            <w:vAlign w:val="center"/>
          </w:tcPr>
          <w:p w:rsidR="00C968F8" w:rsidRPr="00C968F8" w:rsidRDefault="00C968F8" w:rsidP="001F0251">
            <w:pPr>
              <w:tabs>
                <w:tab w:val="decimal" w:pos="170"/>
              </w:tabs>
              <w:adjustRightInd w:val="0"/>
              <w:snapToGrid w:val="0"/>
              <w:ind w:firstLineChars="0" w:firstLine="0"/>
              <w:cnfStyle w:val="000000100000"/>
              <w:rPr>
                <w:rFonts w:eastAsiaTheme="minorEastAsia"/>
                <w:sz w:val="18"/>
                <w:szCs w:val="18"/>
              </w:rPr>
            </w:pPr>
            <w:r w:rsidRPr="00C968F8">
              <w:rPr>
                <w:rFonts w:eastAsiaTheme="minorEastAsia"/>
                <w:sz w:val="18"/>
                <w:szCs w:val="18"/>
              </w:rPr>
              <w:t>2.66</w:t>
            </w:r>
            <w:r w:rsidRPr="00F429CB">
              <w:rPr>
                <w:rFonts w:eastAsiaTheme="minorEastAsia"/>
                <w:sz w:val="18"/>
                <w:szCs w:val="18"/>
                <w:vertAlign w:val="superscript"/>
              </w:rPr>
              <w:t>***</w:t>
            </w:r>
          </w:p>
        </w:tc>
        <w:tc>
          <w:tcPr>
            <w:cnfStyle w:val="000010000000"/>
            <w:tcW w:w="157" w:type="dxa"/>
            <w:tcBorders>
              <w:top w:val="nil"/>
            </w:tcBorders>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p>
        </w:tc>
        <w:tc>
          <w:tcPr>
            <w:tcW w:w="843" w:type="dxa"/>
            <w:tcBorders>
              <w:top w:val="nil"/>
            </w:tcBorders>
            <w:shd w:val="clear" w:color="auto" w:fill="auto"/>
            <w:vAlign w:val="center"/>
          </w:tcPr>
          <w:p w:rsidR="00C968F8" w:rsidRPr="00F429CB" w:rsidRDefault="00C968F8" w:rsidP="001F0251">
            <w:pPr>
              <w:tabs>
                <w:tab w:val="decimal" w:pos="272"/>
              </w:tabs>
              <w:adjustRightInd w:val="0"/>
              <w:snapToGrid w:val="0"/>
              <w:ind w:firstLineChars="0" w:firstLine="0"/>
              <w:cnfStyle w:val="000000100000"/>
              <w:rPr>
                <w:rFonts w:eastAsiaTheme="minorEastAsia"/>
                <w:sz w:val="18"/>
                <w:szCs w:val="18"/>
                <w:lang w:eastAsia="zh-CN"/>
              </w:rPr>
            </w:pPr>
          </w:p>
        </w:tc>
        <w:tc>
          <w:tcPr>
            <w:cnfStyle w:val="000010000000"/>
            <w:tcW w:w="843" w:type="dxa"/>
            <w:tcBorders>
              <w:top w:val="nil"/>
            </w:tcBorders>
            <w:shd w:val="clear" w:color="auto" w:fill="auto"/>
            <w:vAlign w:val="center"/>
          </w:tcPr>
          <w:p w:rsidR="00C968F8" w:rsidRPr="00F429CB" w:rsidRDefault="00C968F8" w:rsidP="001F0251">
            <w:pPr>
              <w:tabs>
                <w:tab w:val="decimal" w:pos="170"/>
              </w:tabs>
              <w:adjustRightInd w:val="0"/>
              <w:snapToGrid w:val="0"/>
              <w:ind w:firstLineChars="0" w:firstLine="0"/>
              <w:rPr>
                <w:rFonts w:eastAsiaTheme="minorEastAsia"/>
                <w:sz w:val="18"/>
                <w:szCs w:val="18"/>
                <w:lang w:eastAsia="zh-CN"/>
              </w:rPr>
            </w:pPr>
          </w:p>
        </w:tc>
        <w:tc>
          <w:tcPr>
            <w:tcW w:w="160" w:type="dxa"/>
            <w:tcBorders>
              <w:top w:val="nil"/>
            </w:tcBorders>
            <w:shd w:val="clear" w:color="auto" w:fill="auto"/>
            <w:vAlign w:val="center"/>
          </w:tcPr>
          <w:p w:rsidR="00C968F8" w:rsidRPr="00D51C66" w:rsidRDefault="00C968F8" w:rsidP="001F0251">
            <w:pPr>
              <w:adjustRightInd w:val="0"/>
              <w:snapToGrid w:val="0"/>
              <w:ind w:firstLineChars="0" w:firstLine="0"/>
              <w:cnfStyle w:val="000000100000"/>
              <w:rPr>
                <w:rFonts w:eastAsia="MS PGothic"/>
                <w:sz w:val="18"/>
                <w:szCs w:val="18"/>
              </w:rPr>
            </w:pPr>
          </w:p>
        </w:tc>
        <w:tc>
          <w:tcPr>
            <w:cnfStyle w:val="000010000000"/>
            <w:tcW w:w="798" w:type="dxa"/>
            <w:tcBorders>
              <w:top w:val="nil"/>
            </w:tcBorders>
            <w:shd w:val="clear" w:color="auto" w:fill="auto"/>
            <w:vAlign w:val="center"/>
          </w:tcPr>
          <w:p w:rsidR="00C968F8" w:rsidRPr="00F429CB" w:rsidRDefault="00C968F8" w:rsidP="001F0251">
            <w:pPr>
              <w:tabs>
                <w:tab w:val="decimal" w:pos="244"/>
              </w:tabs>
              <w:adjustRightInd w:val="0"/>
              <w:snapToGrid w:val="0"/>
              <w:ind w:firstLineChars="0" w:firstLine="0"/>
              <w:rPr>
                <w:rFonts w:eastAsiaTheme="minorEastAsia"/>
                <w:sz w:val="18"/>
                <w:szCs w:val="18"/>
                <w:lang w:eastAsia="zh-CN"/>
              </w:rPr>
            </w:pPr>
          </w:p>
        </w:tc>
        <w:tc>
          <w:tcPr>
            <w:tcW w:w="799" w:type="dxa"/>
            <w:tcBorders>
              <w:top w:val="nil"/>
            </w:tcBorders>
            <w:shd w:val="clear" w:color="auto" w:fill="auto"/>
            <w:vAlign w:val="center"/>
          </w:tcPr>
          <w:p w:rsidR="00C968F8" w:rsidRPr="00F429CB" w:rsidRDefault="00C968F8" w:rsidP="001F0251">
            <w:pPr>
              <w:tabs>
                <w:tab w:val="decimal" w:pos="170"/>
              </w:tabs>
              <w:adjustRightInd w:val="0"/>
              <w:snapToGrid w:val="0"/>
              <w:ind w:firstLineChars="0" w:firstLine="0"/>
              <w:cnfStyle w:val="000000100000"/>
              <w:rPr>
                <w:rFonts w:eastAsiaTheme="minorEastAsia"/>
                <w:sz w:val="18"/>
                <w:szCs w:val="18"/>
                <w:lang w:eastAsia="zh-CN"/>
              </w:rPr>
            </w:pPr>
          </w:p>
        </w:tc>
      </w:tr>
      <w:tr w:rsidR="00C968F8" w:rsidRPr="00D51C66" w:rsidTr="00C968F8">
        <w:trPr>
          <w:trHeight w:val="255"/>
          <w:jc w:val="center"/>
        </w:trPr>
        <w:tc>
          <w:tcPr>
            <w:cnfStyle w:val="001000000000"/>
            <w:tcW w:w="1276" w:type="dxa"/>
            <w:shd w:val="clear" w:color="auto" w:fill="auto"/>
            <w:vAlign w:val="center"/>
          </w:tcPr>
          <w:p w:rsidR="00C968F8" w:rsidRPr="00C968F8" w:rsidRDefault="00C968F8" w:rsidP="001F0251">
            <w:pPr>
              <w:adjustRightInd w:val="0"/>
              <w:snapToGrid w:val="0"/>
              <w:ind w:firstLineChars="0" w:firstLine="0"/>
              <w:rPr>
                <w:rFonts w:eastAsiaTheme="minorEastAsia"/>
                <w:b w:val="0"/>
                <w:i/>
                <w:sz w:val="18"/>
                <w:szCs w:val="18"/>
                <w:lang w:eastAsia="zh-CN"/>
              </w:rPr>
            </w:pPr>
            <w:r w:rsidRPr="00C968F8">
              <w:rPr>
                <w:rFonts w:eastAsia="MS PGothic"/>
                <w:b w:val="0"/>
                <w:i/>
                <w:sz w:val="18"/>
                <w:szCs w:val="18"/>
              </w:rPr>
              <w:t>Manufac</w:t>
            </w:r>
            <w:r w:rsidRPr="00C968F8">
              <w:rPr>
                <w:rFonts w:eastAsiaTheme="minorEastAsia" w:hint="eastAsia"/>
                <w:b w:val="0"/>
                <w:i/>
                <w:sz w:val="18"/>
                <w:szCs w:val="18"/>
                <w:lang w:eastAsia="zh-CN"/>
              </w:rPr>
              <w:t>t</w:t>
            </w:r>
          </w:p>
        </w:tc>
        <w:tc>
          <w:tcPr>
            <w:cnfStyle w:val="000010000000"/>
            <w:tcW w:w="992" w:type="dxa"/>
            <w:shd w:val="clear" w:color="auto" w:fill="auto"/>
            <w:vAlign w:val="center"/>
          </w:tcPr>
          <w:p w:rsidR="00C968F8" w:rsidRPr="00F429CB" w:rsidRDefault="00212AAA" w:rsidP="001F0251">
            <w:pPr>
              <w:adjustRightInd w:val="0"/>
              <w:snapToGrid w:val="0"/>
              <w:ind w:firstLineChars="0" w:firstLine="0"/>
              <w:rPr>
                <w:rFonts w:eastAsiaTheme="minorEastAsia"/>
                <w:sz w:val="18"/>
                <w:szCs w:val="18"/>
                <w:lang w:eastAsia="zh-CN"/>
              </w:rPr>
            </w:pPr>
            <w:r>
              <w:rPr>
                <w:rFonts w:eastAsiaTheme="minorEastAsia" w:hint="eastAsia"/>
                <w:sz w:val="18"/>
                <w:szCs w:val="18"/>
                <w:lang w:eastAsia="zh-CN"/>
              </w:rPr>
              <w:t>-</w:t>
            </w:r>
          </w:p>
        </w:tc>
        <w:tc>
          <w:tcPr>
            <w:tcW w:w="850" w:type="dxa"/>
            <w:shd w:val="clear" w:color="auto" w:fill="auto"/>
            <w:vAlign w:val="center"/>
          </w:tcPr>
          <w:p w:rsidR="00C968F8" w:rsidRPr="00C968F8" w:rsidRDefault="00C968F8" w:rsidP="001F0251">
            <w:pPr>
              <w:tabs>
                <w:tab w:val="decimal" w:pos="272"/>
              </w:tabs>
              <w:adjustRightInd w:val="0"/>
              <w:snapToGrid w:val="0"/>
              <w:ind w:firstLineChars="0" w:firstLine="0"/>
              <w:cnfStyle w:val="000000000000"/>
              <w:rPr>
                <w:rFonts w:eastAsia="MS PGothic"/>
                <w:sz w:val="18"/>
                <w:szCs w:val="18"/>
              </w:rPr>
            </w:pPr>
            <w:r w:rsidRPr="00C968F8">
              <w:rPr>
                <w:rFonts w:eastAsia="MS PGothic"/>
                <w:sz w:val="18"/>
                <w:szCs w:val="18"/>
              </w:rPr>
              <w:t>1.627</w:t>
            </w:r>
          </w:p>
        </w:tc>
        <w:tc>
          <w:tcPr>
            <w:cnfStyle w:val="000010000000"/>
            <w:tcW w:w="851" w:type="dxa"/>
            <w:shd w:val="clear" w:color="auto" w:fill="auto"/>
            <w:vAlign w:val="center"/>
          </w:tcPr>
          <w:p w:rsidR="00C968F8" w:rsidRPr="00C968F8" w:rsidRDefault="00C968F8" w:rsidP="001F0251">
            <w:pPr>
              <w:tabs>
                <w:tab w:val="decimal" w:pos="170"/>
              </w:tabs>
              <w:adjustRightInd w:val="0"/>
              <w:snapToGrid w:val="0"/>
              <w:ind w:firstLineChars="0" w:firstLine="0"/>
              <w:rPr>
                <w:rFonts w:eastAsiaTheme="minorEastAsia"/>
                <w:sz w:val="18"/>
                <w:szCs w:val="18"/>
              </w:rPr>
            </w:pPr>
            <w:r w:rsidRPr="00C968F8">
              <w:rPr>
                <w:rFonts w:eastAsiaTheme="minorEastAsia"/>
                <w:sz w:val="18"/>
                <w:szCs w:val="18"/>
              </w:rPr>
              <w:t>1.52</w:t>
            </w:r>
          </w:p>
        </w:tc>
        <w:tc>
          <w:tcPr>
            <w:tcW w:w="142" w:type="dxa"/>
            <w:tcBorders>
              <w:left w:val="nil"/>
            </w:tcBorders>
            <w:shd w:val="clear" w:color="auto" w:fill="auto"/>
            <w:vAlign w:val="center"/>
          </w:tcPr>
          <w:p w:rsidR="00C968F8" w:rsidRPr="00D51C66" w:rsidRDefault="00C968F8" w:rsidP="001F0251">
            <w:pPr>
              <w:adjustRightInd w:val="0"/>
              <w:snapToGrid w:val="0"/>
              <w:ind w:firstLineChars="0" w:firstLine="0"/>
              <w:cnfStyle w:val="000000000000"/>
              <w:rPr>
                <w:rFonts w:eastAsia="MS PGothic"/>
                <w:sz w:val="18"/>
                <w:szCs w:val="18"/>
              </w:rPr>
            </w:pPr>
          </w:p>
        </w:tc>
        <w:tc>
          <w:tcPr>
            <w:cnfStyle w:val="000010000000"/>
            <w:tcW w:w="850" w:type="dxa"/>
            <w:shd w:val="clear" w:color="auto" w:fill="auto"/>
            <w:vAlign w:val="center"/>
          </w:tcPr>
          <w:p w:rsidR="00C968F8" w:rsidRPr="00F429CB" w:rsidRDefault="00C968F8" w:rsidP="001F0251">
            <w:pPr>
              <w:tabs>
                <w:tab w:val="decimal" w:pos="272"/>
              </w:tabs>
              <w:adjustRightInd w:val="0"/>
              <w:snapToGrid w:val="0"/>
              <w:ind w:firstLineChars="0" w:firstLine="0"/>
              <w:rPr>
                <w:rFonts w:eastAsia="MS PGothic"/>
                <w:sz w:val="18"/>
                <w:szCs w:val="18"/>
              </w:rPr>
            </w:pPr>
            <w:r w:rsidRPr="00F429CB">
              <w:rPr>
                <w:rFonts w:eastAsia="MS PGothic"/>
                <w:sz w:val="18"/>
                <w:szCs w:val="18"/>
              </w:rPr>
              <w:t>1.742</w:t>
            </w:r>
          </w:p>
        </w:tc>
        <w:tc>
          <w:tcPr>
            <w:tcW w:w="851" w:type="dxa"/>
            <w:tcBorders>
              <w:right w:val="nil"/>
            </w:tcBorders>
            <w:shd w:val="clear" w:color="auto" w:fill="auto"/>
            <w:vAlign w:val="center"/>
          </w:tcPr>
          <w:p w:rsidR="00C968F8" w:rsidRPr="00C968F8" w:rsidRDefault="00C968F8" w:rsidP="001F0251">
            <w:pPr>
              <w:tabs>
                <w:tab w:val="decimal" w:pos="170"/>
              </w:tabs>
              <w:adjustRightInd w:val="0"/>
              <w:snapToGrid w:val="0"/>
              <w:ind w:firstLineChars="0" w:firstLine="0"/>
              <w:cnfStyle w:val="000000000000"/>
              <w:rPr>
                <w:rFonts w:eastAsiaTheme="minorEastAsia"/>
                <w:sz w:val="18"/>
                <w:szCs w:val="18"/>
              </w:rPr>
            </w:pPr>
            <w:r w:rsidRPr="00C968F8">
              <w:rPr>
                <w:rFonts w:eastAsiaTheme="minorEastAsia"/>
                <w:sz w:val="18"/>
                <w:szCs w:val="18"/>
              </w:rPr>
              <w:t>1.63</w:t>
            </w:r>
          </w:p>
        </w:tc>
        <w:tc>
          <w:tcPr>
            <w:cnfStyle w:val="000010000000"/>
            <w:tcW w:w="157" w:type="dxa"/>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p>
        </w:tc>
        <w:tc>
          <w:tcPr>
            <w:tcW w:w="843" w:type="dxa"/>
            <w:shd w:val="clear" w:color="auto" w:fill="auto"/>
            <w:vAlign w:val="center"/>
          </w:tcPr>
          <w:p w:rsidR="00C968F8" w:rsidRPr="00D51C66" w:rsidRDefault="00C968F8" w:rsidP="001F0251">
            <w:pPr>
              <w:tabs>
                <w:tab w:val="decimal" w:pos="272"/>
              </w:tabs>
              <w:adjustRightInd w:val="0"/>
              <w:snapToGrid w:val="0"/>
              <w:ind w:firstLineChars="0" w:firstLine="0"/>
              <w:cnfStyle w:val="000000000000"/>
              <w:rPr>
                <w:rFonts w:eastAsia="MS PGothic"/>
                <w:sz w:val="18"/>
                <w:szCs w:val="18"/>
              </w:rPr>
            </w:pPr>
            <w:r w:rsidRPr="00D51C66">
              <w:rPr>
                <w:rFonts w:eastAsia="MS PGothic"/>
                <w:sz w:val="18"/>
                <w:szCs w:val="18"/>
              </w:rPr>
              <w:t>1.346</w:t>
            </w:r>
          </w:p>
        </w:tc>
        <w:tc>
          <w:tcPr>
            <w:cnfStyle w:val="000010000000"/>
            <w:tcW w:w="843" w:type="dxa"/>
            <w:shd w:val="clear" w:color="auto" w:fill="auto"/>
            <w:vAlign w:val="center"/>
          </w:tcPr>
          <w:p w:rsidR="00C968F8" w:rsidRPr="00F429CB" w:rsidRDefault="00C968F8" w:rsidP="001F0251">
            <w:pPr>
              <w:tabs>
                <w:tab w:val="decimal" w:pos="170"/>
              </w:tabs>
              <w:adjustRightInd w:val="0"/>
              <w:snapToGrid w:val="0"/>
              <w:ind w:firstLineChars="0" w:firstLine="0"/>
              <w:rPr>
                <w:rFonts w:eastAsiaTheme="minorEastAsia"/>
                <w:sz w:val="18"/>
                <w:szCs w:val="18"/>
              </w:rPr>
            </w:pPr>
            <w:r w:rsidRPr="00F429CB">
              <w:rPr>
                <w:rFonts w:eastAsiaTheme="minorEastAsia"/>
                <w:sz w:val="18"/>
                <w:szCs w:val="18"/>
              </w:rPr>
              <w:t>1.34</w:t>
            </w:r>
          </w:p>
        </w:tc>
        <w:tc>
          <w:tcPr>
            <w:tcW w:w="160" w:type="dxa"/>
            <w:tcBorders>
              <w:left w:val="nil"/>
            </w:tcBorders>
            <w:shd w:val="clear" w:color="auto" w:fill="auto"/>
            <w:vAlign w:val="center"/>
          </w:tcPr>
          <w:p w:rsidR="00C968F8" w:rsidRPr="00D51C66" w:rsidRDefault="00C968F8" w:rsidP="001F0251">
            <w:pPr>
              <w:adjustRightInd w:val="0"/>
              <w:snapToGrid w:val="0"/>
              <w:ind w:firstLineChars="0" w:firstLine="0"/>
              <w:cnfStyle w:val="000000000000"/>
              <w:rPr>
                <w:rFonts w:eastAsia="MS PGothic"/>
                <w:sz w:val="18"/>
                <w:szCs w:val="18"/>
              </w:rPr>
            </w:pPr>
          </w:p>
        </w:tc>
        <w:tc>
          <w:tcPr>
            <w:cnfStyle w:val="000010000000"/>
            <w:tcW w:w="798" w:type="dxa"/>
            <w:shd w:val="clear" w:color="auto" w:fill="auto"/>
            <w:vAlign w:val="center"/>
          </w:tcPr>
          <w:p w:rsidR="00C968F8" w:rsidRPr="00F429CB" w:rsidRDefault="00C968F8" w:rsidP="001F0251">
            <w:pPr>
              <w:tabs>
                <w:tab w:val="decimal" w:pos="244"/>
              </w:tabs>
              <w:adjustRightInd w:val="0"/>
              <w:snapToGrid w:val="0"/>
              <w:ind w:firstLineChars="0" w:firstLine="0"/>
              <w:rPr>
                <w:rFonts w:eastAsia="MS PGothic"/>
                <w:sz w:val="18"/>
                <w:szCs w:val="18"/>
              </w:rPr>
            </w:pPr>
            <w:r w:rsidRPr="00F429CB">
              <w:rPr>
                <w:rFonts w:eastAsia="MS PGothic"/>
                <w:sz w:val="18"/>
                <w:szCs w:val="18"/>
              </w:rPr>
              <w:t>1.429</w:t>
            </w:r>
          </w:p>
        </w:tc>
        <w:tc>
          <w:tcPr>
            <w:tcW w:w="799" w:type="dxa"/>
            <w:shd w:val="clear" w:color="auto" w:fill="auto"/>
            <w:vAlign w:val="center"/>
          </w:tcPr>
          <w:p w:rsidR="00C968F8" w:rsidRPr="00F429CB" w:rsidRDefault="00C968F8" w:rsidP="001F0251">
            <w:pPr>
              <w:tabs>
                <w:tab w:val="decimal" w:pos="170"/>
              </w:tabs>
              <w:adjustRightInd w:val="0"/>
              <w:snapToGrid w:val="0"/>
              <w:ind w:firstLineChars="0" w:firstLine="0"/>
              <w:cnfStyle w:val="000000000000"/>
              <w:rPr>
                <w:rFonts w:eastAsiaTheme="minorEastAsia"/>
                <w:sz w:val="18"/>
                <w:szCs w:val="18"/>
              </w:rPr>
            </w:pPr>
            <w:r w:rsidRPr="00F429CB">
              <w:rPr>
                <w:rFonts w:eastAsiaTheme="minorEastAsia"/>
                <w:sz w:val="18"/>
                <w:szCs w:val="18"/>
              </w:rPr>
              <w:t>1.43</w:t>
            </w:r>
          </w:p>
        </w:tc>
      </w:tr>
      <w:tr w:rsidR="00C968F8" w:rsidRPr="00D51C66" w:rsidTr="00C968F8">
        <w:trPr>
          <w:cnfStyle w:val="000000100000"/>
          <w:trHeight w:val="255"/>
          <w:jc w:val="center"/>
        </w:trPr>
        <w:tc>
          <w:tcPr>
            <w:cnfStyle w:val="001000000000"/>
            <w:tcW w:w="1276" w:type="dxa"/>
            <w:shd w:val="clear" w:color="auto" w:fill="auto"/>
            <w:vAlign w:val="center"/>
          </w:tcPr>
          <w:p w:rsidR="00C968F8" w:rsidRPr="00C968F8" w:rsidRDefault="00C968F8" w:rsidP="001F0251">
            <w:pPr>
              <w:adjustRightInd w:val="0"/>
              <w:snapToGrid w:val="0"/>
              <w:ind w:firstLineChars="0" w:firstLine="0"/>
              <w:rPr>
                <w:rFonts w:eastAsia="MS PGothic"/>
                <w:b w:val="0"/>
                <w:i/>
                <w:sz w:val="18"/>
                <w:szCs w:val="18"/>
              </w:rPr>
            </w:pPr>
            <w:r w:rsidRPr="00C968F8">
              <w:rPr>
                <w:rFonts w:eastAsia="MS PGothic"/>
                <w:b w:val="0"/>
                <w:i/>
                <w:sz w:val="18"/>
                <w:szCs w:val="18"/>
              </w:rPr>
              <w:t>Intangibles</w:t>
            </w:r>
          </w:p>
        </w:tc>
        <w:tc>
          <w:tcPr>
            <w:cnfStyle w:val="000010000000"/>
            <w:tcW w:w="992" w:type="dxa"/>
            <w:shd w:val="clear" w:color="auto" w:fill="auto"/>
            <w:vAlign w:val="center"/>
          </w:tcPr>
          <w:p w:rsidR="00C968F8" w:rsidRPr="00F429CB" w:rsidRDefault="00212AAA" w:rsidP="001F0251">
            <w:pPr>
              <w:adjustRightInd w:val="0"/>
              <w:snapToGrid w:val="0"/>
              <w:ind w:firstLineChars="0" w:firstLine="0"/>
              <w:rPr>
                <w:rFonts w:eastAsiaTheme="minorEastAsia"/>
                <w:sz w:val="18"/>
                <w:szCs w:val="18"/>
                <w:lang w:eastAsia="zh-CN"/>
              </w:rPr>
            </w:pPr>
            <w:r>
              <w:rPr>
                <w:rFonts w:eastAsiaTheme="minorEastAsia" w:hint="eastAsia"/>
                <w:sz w:val="18"/>
                <w:szCs w:val="18"/>
                <w:lang w:eastAsia="zh-CN"/>
              </w:rPr>
              <w:t>-</w:t>
            </w:r>
          </w:p>
        </w:tc>
        <w:tc>
          <w:tcPr>
            <w:tcW w:w="850" w:type="dxa"/>
            <w:shd w:val="clear" w:color="auto" w:fill="auto"/>
            <w:vAlign w:val="center"/>
          </w:tcPr>
          <w:p w:rsidR="00C968F8" w:rsidRPr="00C968F8" w:rsidRDefault="00C968F8" w:rsidP="001F0251">
            <w:pPr>
              <w:tabs>
                <w:tab w:val="decimal" w:pos="272"/>
              </w:tabs>
              <w:adjustRightInd w:val="0"/>
              <w:snapToGrid w:val="0"/>
              <w:ind w:firstLineChars="0" w:firstLine="0"/>
              <w:cnfStyle w:val="000000100000"/>
              <w:rPr>
                <w:rFonts w:eastAsia="MS PGothic"/>
                <w:sz w:val="18"/>
                <w:szCs w:val="18"/>
              </w:rPr>
            </w:pPr>
            <w:r w:rsidRPr="00C968F8">
              <w:rPr>
                <w:rFonts w:eastAsia="MS PGothic"/>
                <w:sz w:val="18"/>
                <w:szCs w:val="18"/>
              </w:rPr>
              <w:t>-22.735</w:t>
            </w:r>
          </w:p>
        </w:tc>
        <w:tc>
          <w:tcPr>
            <w:cnfStyle w:val="000010000000"/>
            <w:tcW w:w="851" w:type="dxa"/>
            <w:shd w:val="clear" w:color="auto" w:fill="auto"/>
            <w:vAlign w:val="center"/>
          </w:tcPr>
          <w:p w:rsidR="00C968F8" w:rsidRPr="00C968F8" w:rsidRDefault="00C968F8" w:rsidP="001F0251">
            <w:pPr>
              <w:tabs>
                <w:tab w:val="decimal" w:pos="170"/>
              </w:tabs>
              <w:adjustRightInd w:val="0"/>
              <w:snapToGrid w:val="0"/>
              <w:ind w:firstLineChars="0" w:firstLine="0"/>
              <w:rPr>
                <w:rFonts w:eastAsiaTheme="minorEastAsia"/>
                <w:sz w:val="18"/>
                <w:szCs w:val="18"/>
              </w:rPr>
            </w:pPr>
            <w:r w:rsidRPr="00C968F8">
              <w:rPr>
                <w:rFonts w:eastAsiaTheme="minorEastAsia"/>
                <w:sz w:val="18"/>
                <w:szCs w:val="18"/>
              </w:rPr>
              <w:t>-5.44</w:t>
            </w:r>
            <w:r w:rsidRPr="00F429CB">
              <w:rPr>
                <w:rFonts w:eastAsiaTheme="minorEastAsia"/>
                <w:sz w:val="18"/>
                <w:szCs w:val="18"/>
                <w:vertAlign w:val="superscript"/>
              </w:rPr>
              <w:t>***</w:t>
            </w:r>
          </w:p>
        </w:tc>
        <w:tc>
          <w:tcPr>
            <w:tcW w:w="142" w:type="dxa"/>
            <w:shd w:val="clear" w:color="auto" w:fill="auto"/>
            <w:vAlign w:val="center"/>
          </w:tcPr>
          <w:p w:rsidR="00C968F8" w:rsidRPr="00D51C66" w:rsidRDefault="00C968F8" w:rsidP="001F0251">
            <w:pPr>
              <w:adjustRightInd w:val="0"/>
              <w:snapToGrid w:val="0"/>
              <w:ind w:firstLineChars="0" w:firstLine="0"/>
              <w:cnfStyle w:val="000000100000"/>
              <w:rPr>
                <w:rFonts w:eastAsia="MS PGothic"/>
                <w:sz w:val="18"/>
                <w:szCs w:val="18"/>
              </w:rPr>
            </w:pPr>
          </w:p>
        </w:tc>
        <w:tc>
          <w:tcPr>
            <w:cnfStyle w:val="000010000000"/>
            <w:tcW w:w="850" w:type="dxa"/>
            <w:shd w:val="clear" w:color="auto" w:fill="auto"/>
            <w:vAlign w:val="center"/>
          </w:tcPr>
          <w:p w:rsidR="00C968F8" w:rsidRPr="00F429CB" w:rsidRDefault="00C968F8" w:rsidP="001F0251">
            <w:pPr>
              <w:tabs>
                <w:tab w:val="decimal" w:pos="272"/>
              </w:tabs>
              <w:adjustRightInd w:val="0"/>
              <w:snapToGrid w:val="0"/>
              <w:ind w:firstLineChars="0" w:firstLine="0"/>
              <w:rPr>
                <w:rFonts w:eastAsia="MS PGothic"/>
                <w:sz w:val="18"/>
                <w:szCs w:val="18"/>
              </w:rPr>
            </w:pPr>
            <w:r w:rsidRPr="00F429CB">
              <w:rPr>
                <w:rFonts w:eastAsia="MS PGothic"/>
                <w:sz w:val="18"/>
                <w:szCs w:val="18"/>
              </w:rPr>
              <w:t>-23.389</w:t>
            </w:r>
          </w:p>
        </w:tc>
        <w:tc>
          <w:tcPr>
            <w:tcW w:w="851" w:type="dxa"/>
            <w:shd w:val="clear" w:color="auto" w:fill="auto"/>
            <w:vAlign w:val="center"/>
          </w:tcPr>
          <w:p w:rsidR="00C968F8" w:rsidRPr="00C968F8" w:rsidRDefault="00C968F8" w:rsidP="001F0251">
            <w:pPr>
              <w:tabs>
                <w:tab w:val="decimal" w:pos="170"/>
              </w:tabs>
              <w:adjustRightInd w:val="0"/>
              <w:snapToGrid w:val="0"/>
              <w:ind w:firstLineChars="0" w:firstLine="0"/>
              <w:cnfStyle w:val="000000100000"/>
              <w:rPr>
                <w:rFonts w:eastAsiaTheme="minorEastAsia"/>
                <w:sz w:val="18"/>
                <w:szCs w:val="18"/>
              </w:rPr>
            </w:pPr>
            <w:r w:rsidRPr="00C968F8">
              <w:rPr>
                <w:rFonts w:eastAsiaTheme="minorEastAsia"/>
                <w:sz w:val="18"/>
                <w:szCs w:val="18"/>
              </w:rPr>
              <w:t>-5.4</w:t>
            </w:r>
            <w:r w:rsidRPr="00F429CB">
              <w:rPr>
                <w:rFonts w:eastAsiaTheme="minorEastAsia"/>
                <w:sz w:val="18"/>
                <w:szCs w:val="18"/>
                <w:vertAlign w:val="superscript"/>
              </w:rPr>
              <w:t>***</w:t>
            </w:r>
          </w:p>
        </w:tc>
        <w:tc>
          <w:tcPr>
            <w:cnfStyle w:val="000010000000"/>
            <w:tcW w:w="157" w:type="dxa"/>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p>
        </w:tc>
        <w:tc>
          <w:tcPr>
            <w:tcW w:w="843" w:type="dxa"/>
            <w:shd w:val="clear" w:color="auto" w:fill="auto"/>
            <w:vAlign w:val="center"/>
          </w:tcPr>
          <w:p w:rsidR="00C968F8" w:rsidRPr="00D51C66" w:rsidRDefault="00C968F8" w:rsidP="001F0251">
            <w:pPr>
              <w:tabs>
                <w:tab w:val="decimal" w:pos="272"/>
              </w:tabs>
              <w:adjustRightInd w:val="0"/>
              <w:snapToGrid w:val="0"/>
              <w:ind w:firstLineChars="0" w:firstLine="0"/>
              <w:cnfStyle w:val="000000100000"/>
              <w:rPr>
                <w:rFonts w:eastAsia="MS PGothic"/>
                <w:sz w:val="18"/>
                <w:szCs w:val="18"/>
              </w:rPr>
            </w:pPr>
            <w:r w:rsidRPr="00D51C66">
              <w:rPr>
                <w:rFonts w:eastAsia="MS PGothic"/>
                <w:sz w:val="18"/>
                <w:szCs w:val="18"/>
              </w:rPr>
              <w:t>-23.011</w:t>
            </w:r>
          </w:p>
        </w:tc>
        <w:tc>
          <w:tcPr>
            <w:cnfStyle w:val="000010000000"/>
            <w:tcW w:w="843" w:type="dxa"/>
            <w:shd w:val="clear" w:color="auto" w:fill="auto"/>
            <w:vAlign w:val="center"/>
          </w:tcPr>
          <w:p w:rsidR="00C968F8" w:rsidRPr="00F429CB" w:rsidRDefault="00C968F8" w:rsidP="001F0251">
            <w:pPr>
              <w:tabs>
                <w:tab w:val="decimal" w:pos="170"/>
              </w:tabs>
              <w:adjustRightInd w:val="0"/>
              <w:snapToGrid w:val="0"/>
              <w:ind w:firstLineChars="0" w:firstLine="0"/>
              <w:rPr>
                <w:rFonts w:eastAsiaTheme="minorEastAsia"/>
                <w:sz w:val="18"/>
                <w:szCs w:val="18"/>
              </w:rPr>
            </w:pPr>
            <w:r w:rsidRPr="00F429CB">
              <w:rPr>
                <w:rFonts w:eastAsiaTheme="minorEastAsia"/>
                <w:sz w:val="18"/>
                <w:szCs w:val="18"/>
              </w:rPr>
              <w:t>-5.8</w:t>
            </w:r>
            <w:r w:rsidRPr="00F429CB">
              <w:rPr>
                <w:rFonts w:eastAsiaTheme="minorEastAsia"/>
                <w:sz w:val="18"/>
                <w:szCs w:val="18"/>
                <w:vertAlign w:val="superscript"/>
              </w:rPr>
              <w:t>***</w:t>
            </w:r>
          </w:p>
        </w:tc>
        <w:tc>
          <w:tcPr>
            <w:tcW w:w="160" w:type="dxa"/>
            <w:shd w:val="clear" w:color="auto" w:fill="auto"/>
            <w:vAlign w:val="center"/>
          </w:tcPr>
          <w:p w:rsidR="00C968F8" w:rsidRPr="00D51C66" w:rsidRDefault="00C968F8" w:rsidP="001F0251">
            <w:pPr>
              <w:adjustRightInd w:val="0"/>
              <w:snapToGrid w:val="0"/>
              <w:ind w:firstLineChars="0" w:firstLine="0"/>
              <w:cnfStyle w:val="000000100000"/>
              <w:rPr>
                <w:rFonts w:eastAsia="MS PGothic"/>
                <w:sz w:val="18"/>
                <w:szCs w:val="18"/>
              </w:rPr>
            </w:pPr>
          </w:p>
        </w:tc>
        <w:tc>
          <w:tcPr>
            <w:cnfStyle w:val="000010000000"/>
            <w:tcW w:w="798" w:type="dxa"/>
            <w:shd w:val="clear" w:color="auto" w:fill="auto"/>
            <w:vAlign w:val="center"/>
          </w:tcPr>
          <w:p w:rsidR="00C968F8" w:rsidRPr="00F429CB" w:rsidRDefault="00C968F8" w:rsidP="001F0251">
            <w:pPr>
              <w:tabs>
                <w:tab w:val="decimal" w:pos="244"/>
              </w:tabs>
              <w:adjustRightInd w:val="0"/>
              <w:snapToGrid w:val="0"/>
              <w:ind w:firstLineChars="0" w:firstLine="0"/>
              <w:rPr>
                <w:rFonts w:eastAsia="MS PGothic"/>
                <w:sz w:val="18"/>
                <w:szCs w:val="18"/>
              </w:rPr>
            </w:pPr>
            <w:r w:rsidRPr="00F429CB">
              <w:rPr>
                <w:rFonts w:eastAsia="MS PGothic"/>
                <w:sz w:val="18"/>
                <w:szCs w:val="18"/>
              </w:rPr>
              <w:t>-22.35</w:t>
            </w:r>
          </w:p>
        </w:tc>
        <w:tc>
          <w:tcPr>
            <w:tcW w:w="799" w:type="dxa"/>
            <w:shd w:val="clear" w:color="auto" w:fill="auto"/>
            <w:vAlign w:val="center"/>
          </w:tcPr>
          <w:p w:rsidR="00C968F8" w:rsidRPr="00F429CB" w:rsidRDefault="00C968F8" w:rsidP="001F0251">
            <w:pPr>
              <w:tabs>
                <w:tab w:val="decimal" w:pos="170"/>
              </w:tabs>
              <w:adjustRightInd w:val="0"/>
              <w:snapToGrid w:val="0"/>
              <w:ind w:firstLineChars="0" w:firstLine="0"/>
              <w:cnfStyle w:val="000000100000"/>
              <w:rPr>
                <w:rFonts w:eastAsiaTheme="minorEastAsia"/>
                <w:sz w:val="18"/>
                <w:szCs w:val="18"/>
              </w:rPr>
            </w:pPr>
            <w:r w:rsidRPr="00F429CB">
              <w:rPr>
                <w:rFonts w:eastAsiaTheme="minorEastAsia"/>
                <w:sz w:val="18"/>
                <w:szCs w:val="18"/>
              </w:rPr>
              <w:t>-5.69</w:t>
            </w:r>
            <w:r w:rsidRPr="00F429CB">
              <w:rPr>
                <w:rFonts w:eastAsiaTheme="minorEastAsia"/>
                <w:sz w:val="18"/>
                <w:szCs w:val="18"/>
                <w:vertAlign w:val="superscript"/>
              </w:rPr>
              <w:t>***</w:t>
            </w:r>
          </w:p>
        </w:tc>
      </w:tr>
      <w:tr w:rsidR="00C968F8" w:rsidRPr="00D51C66" w:rsidTr="00C968F8">
        <w:trPr>
          <w:trHeight w:val="255"/>
          <w:jc w:val="center"/>
        </w:trPr>
        <w:tc>
          <w:tcPr>
            <w:cnfStyle w:val="001000000000"/>
            <w:tcW w:w="1276" w:type="dxa"/>
            <w:shd w:val="clear" w:color="auto" w:fill="auto"/>
            <w:vAlign w:val="center"/>
          </w:tcPr>
          <w:p w:rsidR="00C968F8" w:rsidRPr="00C968F8" w:rsidRDefault="00C968F8" w:rsidP="001F0251">
            <w:pPr>
              <w:adjustRightInd w:val="0"/>
              <w:snapToGrid w:val="0"/>
              <w:ind w:firstLineChars="0" w:firstLine="0"/>
              <w:rPr>
                <w:rFonts w:eastAsia="MS PGothic"/>
                <w:b w:val="0"/>
                <w:i/>
                <w:sz w:val="18"/>
                <w:szCs w:val="18"/>
              </w:rPr>
            </w:pPr>
            <w:r w:rsidRPr="00C968F8">
              <w:rPr>
                <w:rFonts w:eastAsia="MS PGothic"/>
                <w:b w:val="0"/>
                <w:i/>
                <w:sz w:val="18"/>
                <w:szCs w:val="18"/>
              </w:rPr>
              <w:t>Rd</w:t>
            </w:r>
          </w:p>
        </w:tc>
        <w:tc>
          <w:tcPr>
            <w:cnfStyle w:val="000010000000"/>
            <w:tcW w:w="992" w:type="dxa"/>
            <w:shd w:val="clear" w:color="auto" w:fill="auto"/>
            <w:vAlign w:val="center"/>
          </w:tcPr>
          <w:p w:rsidR="00C968F8" w:rsidRPr="00F429CB" w:rsidRDefault="00212AAA" w:rsidP="001F0251">
            <w:pPr>
              <w:adjustRightInd w:val="0"/>
              <w:snapToGrid w:val="0"/>
              <w:ind w:firstLineChars="0" w:firstLine="0"/>
              <w:rPr>
                <w:rFonts w:eastAsiaTheme="minorEastAsia"/>
                <w:sz w:val="18"/>
                <w:szCs w:val="18"/>
                <w:lang w:eastAsia="zh-CN"/>
              </w:rPr>
            </w:pPr>
            <w:r>
              <w:rPr>
                <w:rFonts w:eastAsiaTheme="minorEastAsia" w:hint="eastAsia"/>
                <w:sz w:val="18"/>
                <w:szCs w:val="18"/>
                <w:lang w:eastAsia="zh-CN"/>
              </w:rPr>
              <w:t>-</w:t>
            </w:r>
          </w:p>
        </w:tc>
        <w:tc>
          <w:tcPr>
            <w:tcW w:w="850" w:type="dxa"/>
            <w:shd w:val="clear" w:color="auto" w:fill="auto"/>
            <w:vAlign w:val="center"/>
          </w:tcPr>
          <w:p w:rsidR="00C968F8" w:rsidRPr="00C968F8" w:rsidRDefault="00C968F8" w:rsidP="001F0251">
            <w:pPr>
              <w:tabs>
                <w:tab w:val="decimal" w:pos="272"/>
              </w:tabs>
              <w:adjustRightInd w:val="0"/>
              <w:snapToGrid w:val="0"/>
              <w:ind w:firstLineChars="0" w:firstLine="0"/>
              <w:cnfStyle w:val="000000000000"/>
              <w:rPr>
                <w:rFonts w:eastAsia="MS PGothic"/>
                <w:sz w:val="18"/>
                <w:szCs w:val="18"/>
              </w:rPr>
            </w:pPr>
            <w:r w:rsidRPr="00C968F8">
              <w:rPr>
                <w:rFonts w:eastAsia="MS PGothic"/>
                <w:sz w:val="18"/>
                <w:szCs w:val="18"/>
              </w:rPr>
              <w:t>-8.623</w:t>
            </w:r>
          </w:p>
        </w:tc>
        <w:tc>
          <w:tcPr>
            <w:cnfStyle w:val="000010000000"/>
            <w:tcW w:w="851" w:type="dxa"/>
            <w:shd w:val="clear" w:color="auto" w:fill="auto"/>
            <w:vAlign w:val="center"/>
          </w:tcPr>
          <w:p w:rsidR="00C968F8" w:rsidRPr="00C968F8" w:rsidRDefault="00C968F8" w:rsidP="001F0251">
            <w:pPr>
              <w:tabs>
                <w:tab w:val="decimal" w:pos="170"/>
              </w:tabs>
              <w:adjustRightInd w:val="0"/>
              <w:snapToGrid w:val="0"/>
              <w:ind w:firstLineChars="0" w:firstLine="0"/>
              <w:rPr>
                <w:rFonts w:eastAsiaTheme="minorEastAsia"/>
                <w:sz w:val="18"/>
                <w:szCs w:val="18"/>
              </w:rPr>
            </w:pPr>
            <w:r w:rsidRPr="00C968F8">
              <w:rPr>
                <w:rFonts w:eastAsiaTheme="minorEastAsia"/>
                <w:sz w:val="18"/>
                <w:szCs w:val="18"/>
              </w:rPr>
              <w:t>-0.99</w:t>
            </w:r>
          </w:p>
        </w:tc>
        <w:tc>
          <w:tcPr>
            <w:tcW w:w="142" w:type="dxa"/>
            <w:tcBorders>
              <w:left w:val="nil"/>
            </w:tcBorders>
            <w:shd w:val="clear" w:color="auto" w:fill="auto"/>
            <w:vAlign w:val="center"/>
          </w:tcPr>
          <w:p w:rsidR="00C968F8" w:rsidRPr="00D51C66" w:rsidRDefault="00C968F8" w:rsidP="001F0251">
            <w:pPr>
              <w:adjustRightInd w:val="0"/>
              <w:snapToGrid w:val="0"/>
              <w:ind w:firstLineChars="0" w:firstLine="0"/>
              <w:cnfStyle w:val="000000000000"/>
              <w:rPr>
                <w:rFonts w:eastAsia="MS PGothic"/>
                <w:sz w:val="18"/>
                <w:szCs w:val="18"/>
              </w:rPr>
            </w:pPr>
          </w:p>
        </w:tc>
        <w:tc>
          <w:tcPr>
            <w:cnfStyle w:val="000010000000"/>
            <w:tcW w:w="850" w:type="dxa"/>
            <w:shd w:val="clear" w:color="auto" w:fill="auto"/>
            <w:vAlign w:val="center"/>
          </w:tcPr>
          <w:p w:rsidR="00C968F8" w:rsidRPr="00F429CB" w:rsidRDefault="00C968F8" w:rsidP="001F0251">
            <w:pPr>
              <w:tabs>
                <w:tab w:val="decimal" w:pos="272"/>
              </w:tabs>
              <w:adjustRightInd w:val="0"/>
              <w:snapToGrid w:val="0"/>
              <w:ind w:firstLineChars="0" w:firstLine="0"/>
              <w:rPr>
                <w:rFonts w:eastAsia="MS PGothic"/>
                <w:sz w:val="18"/>
                <w:szCs w:val="18"/>
              </w:rPr>
            </w:pPr>
            <w:r w:rsidRPr="00F429CB">
              <w:rPr>
                <w:rFonts w:eastAsia="MS PGothic"/>
                <w:sz w:val="18"/>
                <w:szCs w:val="18"/>
              </w:rPr>
              <w:t>1.164</w:t>
            </w:r>
          </w:p>
        </w:tc>
        <w:tc>
          <w:tcPr>
            <w:tcW w:w="851" w:type="dxa"/>
            <w:tcBorders>
              <w:right w:val="nil"/>
            </w:tcBorders>
            <w:shd w:val="clear" w:color="auto" w:fill="auto"/>
            <w:vAlign w:val="center"/>
          </w:tcPr>
          <w:p w:rsidR="00C968F8" w:rsidRPr="00C968F8" w:rsidRDefault="00C968F8" w:rsidP="001F0251">
            <w:pPr>
              <w:tabs>
                <w:tab w:val="decimal" w:pos="170"/>
              </w:tabs>
              <w:adjustRightInd w:val="0"/>
              <w:snapToGrid w:val="0"/>
              <w:ind w:firstLineChars="0" w:firstLine="0"/>
              <w:cnfStyle w:val="000000000000"/>
              <w:rPr>
                <w:rFonts w:eastAsiaTheme="minorEastAsia"/>
                <w:sz w:val="18"/>
                <w:szCs w:val="18"/>
              </w:rPr>
            </w:pPr>
            <w:r w:rsidRPr="00C968F8">
              <w:rPr>
                <w:rFonts w:eastAsiaTheme="minorEastAsia"/>
                <w:sz w:val="18"/>
                <w:szCs w:val="18"/>
              </w:rPr>
              <w:t>2.42</w:t>
            </w:r>
            <w:r w:rsidRPr="00F429CB">
              <w:rPr>
                <w:rFonts w:eastAsiaTheme="minorEastAsia"/>
                <w:sz w:val="18"/>
                <w:szCs w:val="18"/>
                <w:vertAlign w:val="superscript"/>
              </w:rPr>
              <w:t>**</w:t>
            </w:r>
          </w:p>
        </w:tc>
        <w:tc>
          <w:tcPr>
            <w:cnfStyle w:val="000010000000"/>
            <w:tcW w:w="157" w:type="dxa"/>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p>
        </w:tc>
        <w:tc>
          <w:tcPr>
            <w:tcW w:w="843" w:type="dxa"/>
            <w:shd w:val="clear" w:color="auto" w:fill="auto"/>
            <w:vAlign w:val="center"/>
          </w:tcPr>
          <w:p w:rsidR="00C968F8" w:rsidRPr="00D51C66" w:rsidRDefault="00C968F8" w:rsidP="001F0251">
            <w:pPr>
              <w:tabs>
                <w:tab w:val="decimal" w:pos="272"/>
              </w:tabs>
              <w:adjustRightInd w:val="0"/>
              <w:snapToGrid w:val="0"/>
              <w:ind w:firstLineChars="0" w:firstLine="0"/>
              <w:cnfStyle w:val="000000000000"/>
              <w:rPr>
                <w:rFonts w:eastAsia="MS PGothic"/>
                <w:sz w:val="18"/>
                <w:szCs w:val="18"/>
              </w:rPr>
            </w:pPr>
            <w:r w:rsidRPr="00D51C66">
              <w:rPr>
                <w:rFonts w:eastAsia="MS PGothic"/>
                <w:sz w:val="18"/>
                <w:szCs w:val="18"/>
              </w:rPr>
              <w:t>-8.075</w:t>
            </w:r>
          </w:p>
        </w:tc>
        <w:tc>
          <w:tcPr>
            <w:cnfStyle w:val="000010000000"/>
            <w:tcW w:w="843" w:type="dxa"/>
            <w:shd w:val="clear" w:color="auto" w:fill="auto"/>
            <w:vAlign w:val="center"/>
          </w:tcPr>
          <w:p w:rsidR="00C968F8" w:rsidRPr="00F429CB" w:rsidRDefault="00C968F8" w:rsidP="001F0251">
            <w:pPr>
              <w:tabs>
                <w:tab w:val="decimal" w:pos="170"/>
              </w:tabs>
              <w:adjustRightInd w:val="0"/>
              <w:snapToGrid w:val="0"/>
              <w:ind w:firstLineChars="0" w:firstLine="0"/>
              <w:rPr>
                <w:rFonts w:eastAsiaTheme="minorEastAsia"/>
                <w:sz w:val="18"/>
                <w:szCs w:val="18"/>
              </w:rPr>
            </w:pPr>
            <w:r w:rsidRPr="00F429CB">
              <w:rPr>
                <w:rFonts w:eastAsiaTheme="minorEastAsia"/>
                <w:sz w:val="18"/>
                <w:szCs w:val="18"/>
              </w:rPr>
              <w:t>-0.85</w:t>
            </w:r>
          </w:p>
        </w:tc>
        <w:tc>
          <w:tcPr>
            <w:tcW w:w="160" w:type="dxa"/>
            <w:tcBorders>
              <w:left w:val="nil"/>
            </w:tcBorders>
            <w:shd w:val="clear" w:color="auto" w:fill="auto"/>
            <w:vAlign w:val="center"/>
          </w:tcPr>
          <w:p w:rsidR="00C968F8" w:rsidRPr="00D51C66" w:rsidRDefault="00C968F8" w:rsidP="001F0251">
            <w:pPr>
              <w:adjustRightInd w:val="0"/>
              <w:snapToGrid w:val="0"/>
              <w:ind w:firstLineChars="0" w:firstLine="0"/>
              <w:cnfStyle w:val="000000000000"/>
              <w:rPr>
                <w:rFonts w:eastAsia="MS PGothic"/>
                <w:sz w:val="18"/>
                <w:szCs w:val="18"/>
              </w:rPr>
            </w:pPr>
          </w:p>
        </w:tc>
        <w:tc>
          <w:tcPr>
            <w:cnfStyle w:val="000010000000"/>
            <w:tcW w:w="798" w:type="dxa"/>
            <w:shd w:val="clear" w:color="auto" w:fill="auto"/>
            <w:vAlign w:val="center"/>
          </w:tcPr>
          <w:p w:rsidR="00C968F8" w:rsidRPr="00F429CB" w:rsidRDefault="00C968F8" w:rsidP="001F0251">
            <w:pPr>
              <w:tabs>
                <w:tab w:val="decimal" w:pos="244"/>
              </w:tabs>
              <w:adjustRightInd w:val="0"/>
              <w:snapToGrid w:val="0"/>
              <w:ind w:firstLineChars="0" w:firstLine="0"/>
              <w:rPr>
                <w:rFonts w:eastAsia="MS PGothic"/>
                <w:sz w:val="18"/>
                <w:szCs w:val="18"/>
              </w:rPr>
            </w:pPr>
            <w:r w:rsidRPr="00F429CB">
              <w:rPr>
                <w:rFonts w:eastAsia="MS PGothic"/>
                <w:sz w:val="18"/>
                <w:szCs w:val="18"/>
              </w:rPr>
              <w:t>-9.164</w:t>
            </w:r>
          </w:p>
        </w:tc>
        <w:tc>
          <w:tcPr>
            <w:tcW w:w="799" w:type="dxa"/>
            <w:shd w:val="clear" w:color="auto" w:fill="auto"/>
            <w:vAlign w:val="center"/>
          </w:tcPr>
          <w:p w:rsidR="00C968F8" w:rsidRPr="00F429CB" w:rsidRDefault="00C968F8" w:rsidP="001F0251">
            <w:pPr>
              <w:tabs>
                <w:tab w:val="decimal" w:pos="170"/>
              </w:tabs>
              <w:adjustRightInd w:val="0"/>
              <w:snapToGrid w:val="0"/>
              <w:ind w:firstLineChars="0" w:firstLine="0"/>
              <w:cnfStyle w:val="000000000000"/>
              <w:rPr>
                <w:rFonts w:eastAsiaTheme="minorEastAsia"/>
                <w:sz w:val="18"/>
                <w:szCs w:val="18"/>
              </w:rPr>
            </w:pPr>
            <w:r w:rsidRPr="00F429CB">
              <w:rPr>
                <w:rFonts w:eastAsiaTheme="minorEastAsia"/>
                <w:sz w:val="18"/>
                <w:szCs w:val="18"/>
              </w:rPr>
              <w:t>-1.05</w:t>
            </w:r>
          </w:p>
        </w:tc>
      </w:tr>
      <w:tr w:rsidR="00C968F8" w:rsidRPr="00D51C66" w:rsidTr="00C968F8">
        <w:trPr>
          <w:cnfStyle w:val="000000100000"/>
          <w:trHeight w:val="255"/>
          <w:jc w:val="center"/>
        </w:trPr>
        <w:tc>
          <w:tcPr>
            <w:cnfStyle w:val="001000000000"/>
            <w:tcW w:w="1276" w:type="dxa"/>
            <w:shd w:val="clear" w:color="auto" w:fill="auto"/>
            <w:vAlign w:val="center"/>
          </w:tcPr>
          <w:p w:rsidR="00C968F8" w:rsidRPr="00C968F8" w:rsidRDefault="00C968F8" w:rsidP="001F0251">
            <w:pPr>
              <w:adjustRightInd w:val="0"/>
              <w:snapToGrid w:val="0"/>
              <w:ind w:firstLineChars="0" w:firstLine="0"/>
              <w:rPr>
                <w:rFonts w:eastAsia="MS PGothic"/>
                <w:b w:val="0"/>
                <w:i/>
                <w:sz w:val="18"/>
                <w:szCs w:val="18"/>
              </w:rPr>
            </w:pPr>
            <w:r w:rsidRPr="00C968F8">
              <w:rPr>
                <w:rFonts w:eastAsia="MS PGothic"/>
                <w:b w:val="0"/>
                <w:i/>
                <w:sz w:val="18"/>
                <w:szCs w:val="18"/>
              </w:rPr>
              <w:t>Advertise</w:t>
            </w:r>
          </w:p>
        </w:tc>
        <w:tc>
          <w:tcPr>
            <w:cnfStyle w:val="000010000000"/>
            <w:tcW w:w="992" w:type="dxa"/>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r w:rsidRPr="00D51C66">
              <w:rPr>
                <w:rFonts w:eastAsia="MS PGothic"/>
                <w:sz w:val="18"/>
                <w:szCs w:val="18"/>
              </w:rPr>
              <w:t>+</w:t>
            </w:r>
          </w:p>
        </w:tc>
        <w:tc>
          <w:tcPr>
            <w:tcW w:w="850" w:type="dxa"/>
            <w:shd w:val="clear" w:color="auto" w:fill="auto"/>
            <w:vAlign w:val="center"/>
          </w:tcPr>
          <w:p w:rsidR="00C968F8" w:rsidRPr="00C968F8" w:rsidRDefault="00C968F8" w:rsidP="001F0251">
            <w:pPr>
              <w:tabs>
                <w:tab w:val="decimal" w:pos="272"/>
              </w:tabs>
              <w:adjustRightInd w:val="0"/>
              <w:snapToGrid w:val="0"/>
              <w:ind w:firstLineChars="0" w:firstLine="0"/>
              <w:cnfStyle w:val="000000100000"/>
              <w:rPr>
                <w:rFonts w:eastAsia="MS PGothic"/>
                <w:sz w:val="18"/>
                <w:szCs w:val="18"/>
              </w:rPr>
            </w:pPr>
            <w:r w:rsidRPr="00C968F8">
              <w:rPr>
                <w:rFonts w:eastAsia="MS PGothic"/>
                <w:sz w:val="18"/>
                <w:szCs w:val="18"/>
              </w:rPr>
              <w:t>22.584</w:t>
            </w:r>
          </w:p>
        </w:tc>
        <w:tc>
          <w:tcPr>
            <w:cnfStyle w:val="000010000000"/>
            <w:tcW w:w="851" w:type="dxa"/>
            <w:shd w:val="clear" w:color="auto" w:fill="auto"/>
            <w:vAlign w:val="center"/>
          </w:tcPr>
          <w:p w:rsidR="00C968F8" w:rsidRPr="00C968F8" w:rsidRDefault="00C968F8" w:rsidP="001F0251">
            <w:pPr>
              <w:tabs>
                <w:tab w:val="decimal" w:pos="170"/>
              </w:tabs>
              <w:adjustRightInd w:val="0"/>
              <w:snapToGrid w:val="0"/>
              <w:ind w:firstLineChars="0" w:firstLine="0"/>
              <w:rPr>
                <w:rFonts w:eastAsiaTheme="minorEastAsia"/>
                <w:sz w:val="18"/>
                <w:szCs w:val="18"/>
              </w:rPr>
            </w:pPr>
            <w:r w:rsidRPr="00C968F8">
              <w:rPr>
                <w:rFonts w:eastAsiaTheme="minorEastAsia"/>
                <w:sz w:val="18"/>
                <w:szCs w:val="18"/>
              </w:rPr>
              <w:t>1.41</w:t>
            </w:r>
          </w:p>
        </w:tc>
        <w:tc>
          <w:tcPr>
            <w:tcW w:w="142" w:type="dxa"/>
            <w:shd w:val="clear" w:color="auto" w:fill="auto"/>
            <w:vAlign w:val="center"/>
          </w:tcPr>
          <w:p w:rsidR="00C968F8" w:rsidRPr="00D51C66" w:rsidRDefault="00C968F8" w:rsidP="001F0251">
            <w:pPr>
              <w:adjustRightInd w:val="0"/>
              <w:snapToGrid w:val="0"/>
              <w:ind w:firstLineChars="0" w:firstLine="0"/>
              <w:cnfStyle w:val="000000100000"/>
              <w:rPr>
                <w:rFonts w:eastAsia="MS PGothic"/>
                <w:sz w:val="18"/>
                <w:szCs w:val="18"/>
              </w:rPr>
            </w:pPr>
          </w:p>
        </w:tc>
        <w:tc>
          <w:tcPr>
            <w:cnfStyle w:val="000010000000"/>
            <w:tcW w:w="850" w:type="dxa"/>
            <w:shd w:val="clear" w:color="auto" w:fill="auto"/>
            <w:vAlign w:val="center"/>
          </w:tcPr>
          <w:p w:rsidR="00C968F8" w:rsidRPr="00F429CB" w:rsidRDefault="00C968F8" w:rsidP="001F0251">
            <w:pPr>
              <w:tabs>
                <w:tab w:val="decimal" w:pos="272"/>
              </w:tabs>
              <w:adjustRightInd w:val="0"/>
              <w:snapToGrid w:val="0"/>
              <w:ind w:firstLineChars="0" w:firstLine="0"/>
              <w:rPr>
                <w:rFonts w:eastAsia="MS PGothic"/>
                <w:sz w:val="18"/>
                <w:szCs w:val="18"/>
              </w:rPr>
            </w:pPr>
            <w:r w:rsidRPr="00F429CB">
              <w:rPr>
                <w:rFonts w:eastAsia="MS PGothic"/>
                <w:sz w:val="18"/>
                <w:szCs w:val="18"/>
              </w:rPr>
              <w:t>23.204</w:t>
            </w:r>
          </w:p>
        </w:tc>
        <w:tc>
          <w:tcPr>
            <w:tcW w:w="851" w:type="dxa"/>
            <w:shd w:val="clear" w:color="auto" w:fill="auto"/>
            <w:vAlign w:val="center"/>
          </w:tcPr>
          <w:p w:rsidR="00C968F8" w:rsidRPr="00C968F8" w:rsidRDefault="00C968F8" w:rsidP="001F0251">
            <w:pPr>
              <w:tabs>
                <w:tab w:val="decimal" w:pos="170"/>
              </w:tabs>
              <w:adjustRightInd w:val="0"/>
              <w:snapToGrid w:val="0"/>
              <w:ind w:firstLineChars="0" w:firstLine="0"/>
              <w:cnfStyle w:val="000000100000"/>
              <w:rPr>
                <w:rFonts w:eastAsiaTheme="minorEastAsia"/>
                <w:sz w:val="18"/>
                <w:szCs w:val="18"/>
              </w:rPr>
            </w:pPr>
            <w:r w:rsidRPr="00C968F8">
              <w:rPr>
                <w:rFonts w:eastAsiaTheme="minorEastAsia"/>
                <w:sz w:val="18"/>
                <w:szCs w:val="18"/>
              </w:rPr>
              <w:t>1.37</w:t>
            </w:r>
          </w:p>
        </w:tc>
        <w:tc>
          <w:tcPr>
            <w:cnfStyle w:val="000010000000"/>
            <w:tcW w:w="157" w:type="dxa"/>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p>
        </w:tc>
        <w:tc>
          <w:tcPr>
            <w:tcW w:w="843" w:type="dxa"/>
            <w:shd w:val="clear" w:color="auto" w:fill="auto"/>
            <w:vAlign w:val="center"/>
          </w:tcPr>
          <w:p w:rsidR="00C968F8" w:rsidRPr="00D51C66" w:rsidRDefault="00C968F8" w:rsidP="001F0251">
            <w:pPr>
              <w:tabs>
                <w:tab w:val="decimal" w:pos="272"/>
              </w:tabs>
              <w:adjustRightInd w:val="0"/>
              <w:snapToGrid w:val="0"/>
              <w:ind w:firstLineChars="0" w:firstLine="0"/>
              <w:cnfStyle w:val="000000100000"/>
              <w:rPr>
                <w:rFonts w:eastAsia="MS PGothic"/>
                <w:sz w:val="18"/>
                <w:szCs w:val="18"/>
              </w:rPr>
            </w:pPr>
            <w:r w:rsidRPr="00D51C66">
              <w:rPr>
                <w:rFonts w:eastAsia="MS PGothic"/>
                <w:sz w:val="18"/>
                <w:szCs w:val="18"/>
              </w:rPr>
              <w:t>5.718</w:t>
            </w:r>
          </w:p>
        </w:tc>
        <w:tc>
          <w:tcPr>
            <w:cnfStyle w:val="000010000000"/>
            <w:tcW w:w="843" w:type="dxa"/>
            <w:shd w:val="clear" w:color="auto" w:fill="auto"/>
            <w:vAlign w:val="center"/>
          </w:tcPr>
          <w:p w:rsidR="00C968F8" w:rsidRPr="00F429CB" w:rsidRDefault="00C968F8" w:rsidP="001F0251">
            <w:pPr>
              <w:tabs>
                <w:tab w:val="decimal" w:pos="170"/>
              </w:tabs>
              <w:adjustRightInd w:val="0"/>
              <w:snapToGrid w:val="0"/>
              <w:ind w:firstLineChars="0" w:firstLine="0"/>
              <w:rPr>
                <w:rFonts w:eastAsiaTheme="minorEastAsia"/>
                <w:sz w:val="18"/>
                <w:szCs w:val="18"/>
              </w:rPr>
            </w:pPr>
            <w:r w:rsidRPr="00F429CB">
              <w:rPr>
                <w:rFonts w:eastAsiaTheme="minorEastAsia"/>
                <w:sz w:val="18"/>
                <w:szCs w:val="18"/>
              </w:rPr>
              <w:t>3.05</w:t>
            </w:r>
            <w:r w:rsidRPr="00F429CB">
              <w:rPr>
                <w:rFonts w:eastAsiaTheme="minorEastAsia"/>
                <w:sz w:val="18"/>
                <w:szCs w:val="18"/>
                <w:vertAlign w:val="superscript"/>
              </w:rPr>
              <w:t>***</w:t>
            </w:r>
          </w:p>
        </w:tc>
        <w:tc>
          <w:tcPr>
            <w:tcW w:w="160" w:type="dxa"/>
            <w:shd w:val="clear" w:color="auto" w:fill="auto"/>
            <w:vAlign w:val="center"/>
          </w:tcPr>
          <w:p w:rsidR="00C968F8" w:rsidRPr="00D51C66" w:rsidRDefault="00C968F8" w:rsidP="001F0251">
            <w:pPr>
              <w:adjustRightInd w:val="0"/>
              <w:snapToGrid w:val="0"/>
              <w:ind w:firstLineChars="0" w:firstLine="0"/>
              <w:cnfStyle w:val="000000100000"/>
              <w:rPr>
                <w:rFonts w:eastAsia="MS PGothic"/>
                <w:sz w:val="18"/>
                <w:szCs w:val="18"/>
              </w:rPr>
            </w:pPr>
          </w:p>
        </w:tc>
        <w:tc>
          <w:tcPr>
            <w:cnfStyle w:val="000010000000"/>
            <w:tcW w:w="798" w:type="dxa"/>
            <w:shd w:val="clear" w:color="auto" w:fill="auto"/>
            <w:vAlign w:val="center"/>
          </w:tcPr>
          <w:p w:rsidR="00C968F8" w:rsidRPr="00F429CB" w:rsidRDefault="00C968F8" w:rsidP="001F0251">
            <w:pPr>
              <w:tabs>
                <w:tab w:val="decimal" w:pos="244"/>
              </w:tabs>
              <w:adjustRightInd w:val="0"/>
              <w:snapToGrid w:val="0"/>
              <w:ind w:firstLineChars="0" w:firstLine="0"/>
              <w:rPr>
                <w:rFonts w:eastAsia="MS PGothic"/>
                <w:sz w:val="18"/>
                <w:szCs w:val="18"/>
              </w:rPr>
            </w:pPr>
            <w:r w:rsidRPr="00F429CB">
              <w:rPr>
                <w:rFonts w:eastAsia="MS PGothic"/>
                <w:sz w:val="18"/>
                <w:szCs w:val="18"/>
              </w:rPr>
              <w:t>5.416</w:t>
            </w:r>
          </w:p>
        </w:tc>
        <w:tc>
          <w:tcPr>
            <w:tcW w:w="799" w:type="dxa"/>
            <w:shd w:val="clear" w:color="auto" w:fill="auto"/>
            <w:vAlign w:val="center"/>
          </w:tcPr>
          <w:p w:rsidR="00C968F8" w:rsidRPr="00F429CB" w:rsidRDefault="00C968F8" w:rsidP="001F0251">
            <w:pPr>
              <w:tabs>
                <w:tab w:val="decimal" w:pos="170"/>
              </w:tabs>
              <w:adjustRightInd w:val="0"/>
              <w:snapToGrid w:val="0"/>
              <w:ind w:firstLineChars="0" w:firstLine="0"/>
              <w:cnfStyle w:val="000000100000"/>
              <w:rPr>
                <w:rFonts w:eastAsiaTheme="minorEastAsia"/>
                <w:sz w:val="18"/>
                <w:szCs w:val="18"/>
              </w:rPr>
            </w:pPr>
            <w:r w:rsidRPr="00F429CB">
              <w:rPr>
                <w:rFonts w:eastAsiaTheme="minorEastAsia"/>
                <w:sz w:val="18"/>
                <w:szCs w:val="18"/>
              </w:rPr>
              <w:t>2.82</w:t>
            </w:r>
            <w:r w:rsidRPr="00F429CB">
              <w:rPr>
                <w:rFonts w:eastAsiaTheme="minorEastAsia"/>
                <w:sz w:val="18"/>
                <w:szCs w:val="18"/>
                <w:vertAlign w:val="superscript"/>
              </w:rPr>
              <w:t>***</w:t>
            </w:r>
          </w:p>
        </w:tc>
      </w:tr>
      <w:tr w:rsidR="00C968F8" w:rsidRPr="00D51C66" w:rsidTr="00C968F8">
        <w:trPr>
          <w:trHeight w:val="255"/>
          <w:jc w:val="center"/>
        </w:trPr>
        <w:tc>
          <w:tcPr>
            <w:cnfStyle w:val="001000000000"/>
            <w:tcW w:w="1276" w:type="dxa"/>
            <w:shd w:val="clear" w:color="auto" w:fill="auto"/>
            <w:vAlign w:val="center"/>
          </w:tcPr>
          <w:p w:rsidR="00C968F8" w:rsidRPr="00C968F8" w:rsidRDefault="00C968F8" w:rsidP="001F0251">
            <w:pPr>
              <w:adjustRightInd w:val="0"/>
              <w:snapToGrid w:val="0"/>
              <w:ind w:firstLineChars="0" w:firstLine="0"/>
              <w:rPr>
                <w:rFonts w:eastAsia="MS PGothic"/>
                <w:b w:val="0"/>
                <w:i/>
                <w:sz w:val="18"/>
                <w:szCs w:val="18"/>
              </w:rPr>
            </w:pPr>
            <w:r w:rsidRPr="00C968F8">
              <w:rPr>
                <w:rFonts w:eastAsia="MS PGothic"/>
                <w:b w:val="0"/>
                <w:i/>
                <w:sz w:val="18"/>
                <w:szCs w:val="18"/>
              </w:rPr>
              <w:t>High rd</w:t>
            </w:r>
          </w:p>
        </w:tc>
        <w:tc>
          <w:tcPr>
            <w:cnfStyle w:val="000010000000"/>
            <w:tcW w:w="992" w:type="dxa"/>
            <w:shd w:val="clear" w:color="auto" w:fill="auto"/>
            <w:vAlign w:val="center"/>
          </w:tcPr>
          <w:p w:rsidR="00C968F8" w:rsidRPr="006072A1" w:rsidRDefault="006072A1" w:rsidP="001F0251">
            <w:pPr>
              <w:adjustRightInd w:val="0"/>
              <w:snapToGrid w:val="0"/>
              <w:ind w:firstLineChars="0" w:firstLine="0"/>
              <w:rPr>
                <w:rFonts w:eastAsiaTheme="minorEastAsia" w:hint="eastAsia"/>
                <w:sz w:val="18"/>
                <w:szCs w:val="18"/>
                <w:lang w:eastAsia="zh-CN"/>
              </w:rPr>
            </w:pPr>
            <w:r>
              <w:rPr>
                <w:rFonts w:eastAsiaTheme="minorEastAsia" w:hint="eastAsia"/>
                <w:sz w:val="18"/>
                <w:szCs w:val="18"/>
                <w:lang w:eastAsia="zh-CN"/>
              </w:rPr>
              <w:t>-</w:t>
            </w:r>
          </w:p>
        </w:tc>
        <w:tc>
          <w:tcPr>
            <w:tcW w:w="850" w:type="dxa"/>
            <w:shd w:val="clear" w:color="auto" w:fill="auto"/>
            <w:vAlign w:val="center"/>
          </w:tcPr>
          <w:p w:rsidR="00C968F8" w:rsidRPr="00C968F8" w:rsidRDefault="00C968F8" w:rsidP="001F0251">
            <w:pPr>
              <w:tabs>
                <w:tab w:val="decimal" w:pos="272"/>
              </w:tabs>
              <w:adjustRightInd w:val="0"/>
              <w:snapToGrid w:val="0"/>
              <w:ind w:firstLineChars="0" w:firstLine="0"/>
              <w:cnfStyle w:val="000000000000"/>
              <w:rPr>
                <w:rFonts w:eastAsia="MS PGothic"/>
                <w:sz w:val="18"/>
                <w:szCs w:val="18"/>
              </w:rPr>
            </w:pPr>
            <w:r w:rsidRPr="00C968F8">
              <w:rPr>
                <w:rFonts w:eastAsia="MS PGothic"/>
                <w:sz w:val="18"/>
                <w:szCs w:val="18"/>
              </w:rPr>
              <w:t>-1.381</w:t>
            </w:r>
          </w:p>
        </w:tc>
        <w:tc>
          <w:tcPr>
            <w:cnfStyle w:val="000010000000"/>
            <w:tcW w:w="851" w:type="dxa"/>
            <w:shd w:val="clear" w:color="auto" w:fill="auto"/>
            <w:vAlign w:val="center"/>
          </w:tcPr>
          <w:p w:rsidR="00C968F8" w:rsidRPr="00C968F8" w:rsidRDefault="00C968F8" w:rsidP="001F0251">
            <w:pPr>
              <w:tabs>
                <w:tab w:val="decimal" w:pos="170"/>
              </w:tabs>
              <w:adjustRightInd w:val="0"/>
              <w:snapToGrid w:val="0"/>
              <w:ind w:firstLineChars="0" w:firstLine="0"/>
              <w:rPr>
                <w:rFonts w:eastAsiaTheme="minorEastAsia"/>
                <w:sz w:val="18"/>
                <w:szCs w:val="18"/>
              </w:rPr>
            </w:pPr>
            <w:r w:rsidRPr="00C968F8">
              <w:rPr>
                <w:rFonts w:eastAsiaTheme="minorEastAsia"/>
                <w:sz w:val="18"/>
                <w:szCs w:val="18"/>
              </w:rPr>
              <w:t>-1.11</w:t>
            </w:r>
          </w:p>
        </w:tc>
        <w:tc>
          <w:tcPr>
            <w:tcW w:w="142" w:type="dxa"/>
            <w:tcBorders>
              <w:left w:val="nil"/>
            </w:tcBorders>
            <w:shd w:val="clear" w:color="auto" w:fill="auto"/>
            <w:vAlign w:val="center"/>
          </w:tcPr>
          <w:p w:rsidR="00C968F8" w:rsidRPr="00D51C66" w:rsidRDefault="00C968F8" w:rsidP="001F0251">
            <w:pPr>
              <w:adjustRightInd w:val="0"/>
              <w:snapToGrid w:val="0"/>
              <w:ind w:firstLineChars="0" w:firstLine="0"/>
              <w:cnfStyle w:val="000000000000"/>
              <w:rPr>
                <w:rFonts w:eastAsia="MS PGothic"/>
                <w:sz w:val="18"/>
                <w:szCs w:val="18"/>
              </w:rPr>
            </w:pPr>
          </w:p>
        </w:tc>
        <w:tc>
          <w:tcPr>
            <w:cnfStyle w:val="000010000000"/>
            <w:tcW w:w="850" w:type="dxa"/>
            <w:shd w:val="clear" w:color="auto" w:fill="auto"/>
            <w:vAlign w:val="center"/>
          </w:tcPr>
          <w:p w:rsidR="00C968F8" w:rsidRPr="00F429CB" w:rsidRDefault="00C968F8" w:rsidP="001F0251">
            <w:pPr>
              <w:tabs>
                <w:tab w:val="decimal" w:pos="272"/>
              </w:tabs>
              <w:adjustRightInd w:val="0"/>
              <w:snapToGrid w:val="0"/>
              <w:ind w:firstLineChars="0" w:firstLine="0"/>
              <w:rPr>
                <w:rFonts w:eastAsiaTheme="minorEastAsia"/>
                <w:sz w:val="18"/>
                <w:szCs w:val="18"/>
                <w:lang w:eastAsia="zh-CN"/>
              </w:rPr>
            </w:pPr>
          </w:p>
        </w:tc>
        <w:tc>
          <w:tcPr>
            <w:tcW w:w="851" w:type="dxa"/>
            <w:tcBorders>
              <w:right w:val="nil"/>
            </w:tcBorders>
            <w:shd w:val="clear" w:color="auto" w:fill="auto"/>
            <w:vAlign w:val="center"/>
          </w:tcPr>
          <w:p w:rsidR="00C968F8" w:rsidRPr="00C968F8" w:rsidRDefault="00C968F8" w:rsidP="001F0251">
            <w:pPr>
              <w:tabs>
                <w:tab w:val="decimal" w:pos="170"/>
              </w:tabs>
              <w:adjustRightInd w:val="0"/>
              <w:snapToGrid w:val="0"/>
              <w:ind w:firstLineChars="0" w:firstLine="0"/>
              <w:cnfStyle w:val="000000000000"/>
              <w:rPr>
                <w:rFonts w:eastAsiaTheme="minorEastAsia"/>
                <w:sz w:val="18"/>
                <w:szCs w:val="18"/>
                <w:lang w:eastAsia="zh-CN"/>
              </w:rPr>
            </w:pPr>
          </w:p>
        </w:tc>
        <w:tc>
          <w:tcPr>
            <w:cnfStyle w:val="000010000000"/>
            <w:tcW w:w="157" w:type="dxa"/>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p>
        </w:tc>
        <w:tc>
          <w:tcPr>
            <w:tcW w:w="843" w:type="dxa"/>
            <w:shd w:val="clear" w:color="auto" w:fill="auto"/>
            <w:vAlign w:val="center"/>
          </w:tcPr>
          <w:p w:rsidR="00C968F8" w:rsidRPr="00D51C66" w:rsidRDefault="00C968F8" w:rsidP="001F0251">
            <w:pPr>
              <w:tabs>
                <w:tab w:val="decimal" w:pos="272"/>
              </w:tabs>
              <w:adjustRightInd w:val="0"/>
              <w:snapToGrid w:val="0"/>
              <w:ind w:firstLineChars="0" w:firstLine="0"/>
              <w:cnfStyle w:val="000000000000"/>
              <w:rPr>
                <w:rFonts w:eastAsia="MS PGothic"/>
                <w:sz w:val="18"/>
                <w:szCs w:val="18"/>
              </w:rPr>
            </w:pPr>
            <w:r w:rsidRPr="00D51C66">
              <w:rPr>
                <w:rFonts w:eastAsia="MS PGothic"/>
                <w:sz w:val="18"/>
                <w:szCs w:val="18"/>
              </w:rPr>
              <w:t>-1.353</w:t>
            </w:r>
          </w:p>
        </w:tc>
        <w:tc>
          <w:tcPr>
            <w:cnfStyle w:val="000010000000"/>
            <w:tcW w:w="843" w:type="dxa"/>
            <w:shd w:val="clear" w:color="auto" w:fill="auto"/>
            <w:vAlign w:val="center"/>
          </w:tcPr>
          <w:p w:rsidR="00C968F8" w:rsidRPr="00F429CB" w:rsidRDefault="00C968F8" w:rsidP="001F0251">
            <w:pPr>
              <w:tabs>
                <w:tab w:val="decimal" w:pos="170"/>
              </w:tabs>
              <w:adjustRightInd w:val="0"/>
              <w:snapToGrid w:val="0"/>
              <w:ind w:firstLineChars="0" w:firstLine="0"/>
              <w:rPr>
                <w:rFonts w:eastAsiaTheme="minorEastAsia"/>
                <w:sz w:val="18"/>
                <w:szCs w:val="18"/>
              </w:rPr>
            </w:pPr>
            <w:r w:rsidRPr="00F429CB">
              <w:rPr>
                <w:rFonts w:eastAsiaTheme="minorEastAsia"/>
                <w:sz w:val="18"/>
                <w:szCs w:val="18"/>
              </w:rPr>
              <w:t>-1.07</w:t>
            </w:r>
          </w:p>
        </w:tc>
        <w:tc>
          <w:tcPr>
            <w:tcW w:w="160" w:type="dxa"/>
            <w:tcBorders>
              <w:left w:val="nil"/>
            </w:tcBorders>
            <w:shd w:val="clear" w:color="auto" w:fill="auto"/>
            <w:vAlign w:val="center"/>
          </w:tcPr>
          <w:p w:rsidR="00C968F8" w:rsidRPr="00D51C66" w:rsidRDefault="00C968F8" w:rsidP="001F0251">
            <w:pPr>
              <w:adjustRightInd w:val="0"/>
              <w:snapToGrid w:val="0"/>
              <w:ind w:firstLineChars="0" w:firstLine="0"/>
              <w:cnfStyle w:val="000000000000"/>
              <w:rPr>
                <w:rFonts w:eastAsia="MS PGothic"/>
                <w:sz w:val="18"/>
                <w:szCs w:val="18"/>
              </w:rPr>
            </w:pPr>
          </w:p>
        </w:tc>
        <w:tc>
          <w:tcPr>
            <w:cnfStyle w:val="000010000000"/>
            <w:tcW w:w="798" w:type="dxa"/>
            <w:shd w:val="clear" w:color="auto" w:fill="auto"/>
            <w:vAlign w:val="center"/>
          </w:tcPr>
          <w:p w:rsidR="00C968F8" w:rsidRPr="00F429CB" w:rsidRDefault="00C968F8" w:rsidP="001F0251">
            <w:pPr>
              <w:tabs>
                <w:tab w:val="decimal" w:pos="244"/>
              </w:tabs>
              <w:adjustRightInd w:val="0"/>
              <w:snapToGrid w:val="0"/>
              <w:ind w:firstLineChars="0" w:firstLine="0"/>
              <w:rPr>
                <w:rFonts w:eastAsia="MS PGothic"/>
                <w:sz w:val="18"/>
                <w:szCs w:val="18"/>
              </w:rPr>
            </w:pPr>
            <w:r w:rsidRPr="00F429CB">
              <w:rPr>
                <w:rFonts w:eastAsia="MS PGothic"/>
                <w:sz w:val="18"/>
                <w:szCs w:val="18"/>
              </w:rPr>
              <w:t>-1.130</w:t>
            </w:r>
          </w:p>
        </w:tc>
        <w:tc>
          <w:tcPr>
            <w:tcW w:w="799" w:type="dxa"/>
            <w:shd w:val="clear" w:color="auto" w:fill="auto"/>
            <w:vAlign w:val="center"/>
          </w:tcPr>
          <w:p w:rsidR="00C968F8" w:rsidRPr="00F429CB" w:rsidRDefault="00C968F8" w:rsidP="001F0251">
            <w:pPr>
              <w:tabs>
                <w:tab w:val="decimal" w:pos="170"/>
              </w:tabs>
              <w:adjustRightInd w:val="0"/>
              <w:snapToGrid w:val="0"/>
              <w:ind w:firstLineChars="0" w:firstLine="0"/>
              <w:cnfStyle w:val="000000000000"/>
              <w:rPr>
                <w:rFonts w:eastAsiaTheme="minorEastAsia"/>
                <w:sz w:val="18"/>
                <w:szCs w:val="18"/>
                <w:lang w:eastAsia="zh-CN"/>
              </w:rPr>
            </w:pPr>
            <w:r w:rsidRPr="00F429CB">
              <w:rPr>
                <w:rFonts w:eastAsiaTheme="minorEastAsia"/>
                <w:sz w:val="18"/>
                <w:szCs w:val="18"/>
              </w:rPr>
              <w:t>-0.9</w:t>
            </w:r>
            <w:r w:rsidR="00FD3DF3">
              <w:rPr>
                <w:rFonts w:eastAsiaTheme="minorEastAsia" w:hint="eastAsia"/>
                <w:sz w:val="18"/>
                <w:szCs w:val="18"/>
                <w:lang w:eastAsia="zh-CN"/>
              </w:rPr>
              <w:t>0</w:t>
            </w:r>
          </w:p>
        </w:tc>
      </w:tr>
      <w:tr w:rsidR="00C968F8" w:rsidRPr="00D51C66" w:rsidTr="00C968F8">
        <w:trPr>
          <w:cnfStyle w:val="000000100000"/>
          <w:trHeight w:val="255"/>
          <w:jc w:val="center"/>
        </w:trPr>
        <w:tc>
          <w:tcPr>
            <w:cnfStyle w:val="001000000000"/>
            <w:tcW w:w="1276" w:type="dxa"/>
            <w:shd w:val="clear" w:color="auto" w:fill="auto"/>
            <w:vAlign w:val="center"/>
          </w:tcPr>
          <w:p w:rsidR="00C968F8" w:rsidRPr="00D51C66" w:rsidRDefault="00C968F8" w:rsidP="001F0251">
            <w:pPr>
              <w:adjustRightInd w:val="0"/>
              <w:snapToGrid w:val="0"/>
              <w:ind w:firstLineChars="0" w:firstLine="0"/>
              <w:rPr>
                <w:rFonts w:eastAsia="MS PGothic"/>
                <w:b w:val="0"/>
                <w:sz w:val="18"/>
                <w:szCs w:val="18"/>
              </w:rPr>
            </w:pPr>
            <w:r w:rsidRPr="00C968F8">
              <w:rPr>
                <w:rFonts w:eastAsia="MS PGothic"/>
                <w:b w:val="0"/>
                <w:i/>
                <w:sz w:val="18"/>
                <w:szCs w:val="18"/>
              </w:rPr>
              <w:t>High</w:t>
            </w:r>
            <w:r w:rsidRPr="00D51C66">
              <w:rPr>
                <w:rFonts w:eastAsia="MS PGothic"/>
                <w:b w:val="0"/>
                <w:sz w:val="18"/>
                <w:szCs w:val="18"/>
              </w:rPr>
              <w:t xml:space="preserve"> </w:t>
            </w:r>
            <w:r w:rsidRPr="00C968F8">
              <w:rPr>
                <w:rFonts w:eastAsia="MS PGothic"/>
                <w:b w:val="0"/>
                <w:i/>
                <w:sz w:val="18"/>
                <w:szCs w:val="18"/>
              </w:rPr>
              <w:t>advertise</w:t>
            </w:r>
          </w:p>
        </w:tc>
        <w:tc>
          <w:tcPr>
            <w:cnfStyle w:val="000010000000"/>
            <w:tcW w:w="992" w:type="dxa"/>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r w:rsidRPr="00D51C66">
              <w:rPr>
                <w:rFonts w:eastAsia="MS PGothic"/>
                <w:sz w:val="18"/>
                <w:szCs w:val="18"/>
              </w:rPr>
              <w:t>+</w:t>
            </w:r>
          </w:p>
        </w:tc>
        <w:tc>
          <w:tcPr>
            <w:tcW w:w="850" w:type="dxa"/>
            <w:shd w:val="clear" w:color="auto" w:fill="auto"/>
            <w:vAlign w:val="center"/>
          </w:tcPr>
          <w:p w:rsidR="00C968F8" w:rsidRPr="00C968F8" w:rsidRDefault="00C968F8" w:rsidP="001F0251">
            <w:pPr>
              <w:tabs>
                <w:tab w:val="decimal" w:pos="272"/>
              </w:tabs>
              <w:adjustRightInd w:val="0"/>
              <w:snapToGrid w:val="0"/>
              <w:ind w:firstLineChars="0" w:firstLine="0"/>
              <w:cnfStyle w:val="000000100000"/>
              <w:rPr>
                <w:rFonts w:eastAsia="MS PGothic"/>
                <w:sz w:val="18"/>
                <w:szCs w:val="18"/>
              </w:rPr>
            </w:pPr>
            <w:r w:rsidRPr="00C968F8">
              <w:rPr>
                <w:rFonts w:eastAsia="MS PGothic"/>
                <w:sz w:val="18"/>
                <w:szCs w:val="18"/>
              </w:rPr>
              <w:t>1.748</w:t>
            </w:r>
          </w:p>
        </w:tc>
        <w:tc>
          <w:tcPr>
            <w:cnfStyle w:val="000010000000"/>
            <w:tcW w:w="851" w:type="dxa"/>
            <w:shd w:val="clear" w:color="auto" w:fill="auto"/>
            <w:vAlign w:val="center"/>
          </w:tcPr>
          <w:p w:rsidR="00C968F8" w:rsidRPr="00C968F8" w:rsidRDefault="00C968F8" w:rsidP="001F0251">
            <w:pPr>
              <w:tabs>
                <w:tab w:val="decimal" w:pos="170"/>
              </w:tabs>
              <w:adjustRightInd w:val="0"/>
              <w:snapToGrid w:val="0"/>
              <w:ind w:firstLineChars="0" w:firstLine="0"/>
              <w:rPr>
                <w:rFonts w:eastAsiaTheme="minorEastAsia"/>
                <w:sz w:val="18"/>
                <w:szCs w:val="18"/>
              </w:rPr>
            </w:pPr>
            <w:r w:rsidRPr="00C968F8">
              <w:rPr>
                <w:rFonts w:eastAsiaTheme="minorEastAsia"/>
                <w:sz w:val="18"/>
                <w:szCs w:val="18"/>
              </w:rPr>
              <w:t>1.97</w:t>
            </w:r>
            <w:r w:rsidRPr="00F429CB">
              <w:rPr>
                <w:rFonts w:eastAsiaTheme="minorEastAsia"/>
                <w:sz w:val="18"/>
                <w:szCs w:val="18"/>
                <w:vertAlign w:val="superscript"/>
              </w:rPr>
              <w:t>**</w:t>
            </w:r>
          </w:p>
        </w:tc>
        <w:tc>
          <w:tcPr>
            <w:tcW w:w="142" w:type="dxa"/>
            <w:shd w:val="clear" w:color="auto" w:fill="auto"/>
            <w:vAlign w:val="center"/>
          </w:tcPr>
          <w:p w:rsidR="00C968F8" w:rsidRPr="00D51C66" w:rsidRDefault="00C968F8" w:rsidP="001F0251">
            <w:pPr>
              <w:adjustRightInd w:val="0"/>
              <w:snapToGrid w:val="0"/>
              <w:ind w:firstLineChars="0" w:firstLine="0"/>
              <w:cnfStyle w:val="000000100000"/>
              <w:rPr>
                <w:rFonts w:eastAsia="MS PGothic"/>
                <w:sz w:val="18"/>
                <w:szCs w:val="18"/>
              </w:rPr>
            </w:pPr>
          </w:p>
        </w:tc>
        <w:tc>
          <w:tcPr>
            <w:cnfStyle w:val="000010000000"/>
            <w:tcW w:w="850" w:type="dxa"/>
            <w:shd w:val="clear" w:color="auto" w:fill="auto"/>
            <w:vAlign w:val="center"/>
          </w:tcPr>
          <w:p w:rsidR="00C968F8" w:rsidRPr="00F429CB" w:rsidRDefault="00C968F8" w:rsidP="001F0251">
            <w:pPr>
              <w:tabs>
                <w:tab w:val="decimal" w:pos="272"/>
              </w:tabs>
              <w:adjustRightInd w:val="0"/>
              <w:snapToGrid w:val="0"/>
              <w:ind w:firstLineChars="0" w:firstLine="0"/>
              <w:rPr>
                <w:rFonts w:eastAsia="MS PGothic"/>
                <w:sz w:val="18"/>
                <w:szCs w:val="18"/>
              </w:rPr>
            </w:pPr>
            <w:r w:rsidRPr="00F429CB">
              <w:rPr>
                <w:rFonts w:eastAsia="MS PGothic"/>
                <w:sz w:val="18"/>
                <w:szCs w:val="18"/>
              </w:rPr>
              <w:t>1.535</w:t>
            </w:r>
          </w:p>
        </w:tc>
        <w:tc>
          <w:tcPr>
            <w:tcW w:w="851" w:type="dxa"/>
            <w:shd w:val="clear" w:color="auto" w:fill="auto"/>
            <w:vAlign w:val="center"/>
          </w:tcPr>
          <w:p w:rsidR="00C968F8" w:rsidRPr="00C968F8" w:rsidRDefault="00C968F8" w:rsidP="001F0251">
            <w:pPr>
              <w:tabs>
                <w:tab w:val="decimal" w:pos="170"/>
              </w:tabs>
              <w:adjustRightInd w:val="0"/>
              <w:snapToGrid w:val="0"/>
              <w:ind w:firstLineChars="0" w:firstLine="0"/>
              <w:cnfStyle w:val="000000100000"/>
              <w:rPr>
                <w:rFonts w:eastAsiaTheme="minorEastAsia"/>
                <w:sz w:val="18"/>
                <w:szCs w:val="18"/>
              </w:rPr>
            </w:pPr>
            <w:r w:rsidRPr="00C968F8">
              <w:rPr>
                <w:rFonts w:eastAsiaTheme="minorEastAsia"/>
                <w:sz w:val="18"/>
                <w:szCs w:val="18"/>
              </w:rPr>
              <w:t>1.69</w:t>
            </w:r>
            <w:r w:rsidRPr="00F429CB">
              <w:rPr>
                <w:rFonts w:eastAsiaTheme="minorEastAsia"/>
                <w:sz w:val="18"/>
                <w:szCs w:val="18"/>
                <w:vertAlign w:val="superscript"/>
              </w:rPr>
              <w:t>*</w:t>
            </w:r>
          </w:p>
        </w:tc>
        <w:tc>
          <w:tcPr>
            <w:cnfStyle w:val="000010000000"/>
            <w:tcW w:w="157" w:type="dxa"/>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p>
        </w:tc>
        <w:tc>
          <w:tcPr>
            <w:tcW w:w="843" w:type="dxa"/>
            <w:shd w:val="clear" w:color="auto" w:fill="auto"/>
            <w:vAlign w:val="center"/>
          </w:tcPr>
          <w:p w:rsidR="00C968F8" w:rsidRPr="00D51C66" w:rsidRDefault="00C968F8" w:rsidP="001F0251">
            <w:pPr>
              <w:tabs>
                <w:tab w:val="decimal" w:pos="272"/>
              </w:tabs>
              <w:adjustRightInd w:val="0"/>
              <w:snapToGrid w:val="0"/>
              <w:ind w:firstLineChars="0" w:firstLine="0"/>
              <w:cnfStyle w:val="000000100000"/>
              <w:rPr>
                <w:rFonts w:eastAsia="MS PGothic"/>
                <w:sz w:val="18"/>
                <w:szCs w:val="18"/>
              </w:rPr>
            </w:pPr>
            <w:r w:rsidRPr="00D51C66">
              <w:rPr>
                <w:rFonts w:eastAsia="MS PGothic"/>
                <w:sz w:val="18"/>
                <w:szCs w:val="18"/>
              </w:rPr>
              <w:t>2.428</w:t>
            </w:r>
          </w:p>
        </w:tc>
        <w:tc>
          <w:tcPr>
            <w:cnfStyle w:val="000010000000"/>
            <w:tcW w:w="843" w:type="dxa"/>
            <w:shd w:val="clear" w:color="auto" w:fill="auto"/>
            <w:vAlign w:val="center"/>
          </w:tcPr>
          <w:p w:rsidR="00C968F8" w:rsidRPr="00F429CB" w:rsidRDefault="00C968F8" w:rsidP="001F0251">
            <w:pPr>
              <w:tabs>
                <w:tab w:val="decimal" w:pos="170"/>
              </w:tabs>
              <w:adjustRightInd w:val="0"/>
              <w:snapToGrid w:val="0"/>
              <w:ind w:firstLineChars="0" w:firstLine="0"/>
              <w:rPr>
                <w:rFonts w:eastAsiaTheme="minorEastAsia"/>
                <w:sz w:val="18"/>
                <w:szCs w:val="18"/>
              </w:rPr>
            </w:pPr>
            <w:r w:rsidRPr="00F429CB">
              <w:rPr>
                <w:rFonts w:eastAsiaTheme="minorEastAsia"/>
                <w:sz w:val="18"/>
                <w:szCs w:val="18"/>
              </w:rPr>
              <w:t>2.82</w:t>
            </w:r>
            <w:r w:rsidRPr="00F429CB">
              <w:rPr>
                <w:rFonts w:eastAsiaTheme="minorEastAsia"/>
                <w:sz w:val="18"/>
                <w:szCs w:val="18"/>
                <w:vertAlign w:val="superscript"/>
              </w:rPr>
              <w:t>***</w:t>
            </w:r>
          </w:p>
        </w:tc>
        <w:tc>
          <w:tcPr>
            <w:tcW w:w="160" w:type="dxa"/>
            <w:shd w:val="clear" w:color="auto" w:fill="auto"/>
            <w:vAlign w:val="center"/>
          </w:tcPr>
          <w:p w:rsidR="00C968F8" w:rsidRPr="00D51C66" w:rsidRDefault="00C968F8" w:rsidP="001F0251">
            <w:pPr>
              <w:adjustRightInd w:val="0"/>
              <w:snapToGrid w:val="0"/>
              <w:ind w:firstLineChars="0" w:firstLine="0"/>
              <w:cnfStyle w:val="000000100000"/>
              <w:rPr>
                <w:rFonts w:eastAsia="MS PGothic"/>
                <w:sz w:val="18"/>
                <w:szCs w:val="18"/>
              </w:rPr>
            </w:pPr>
          </w:p>
        </w:tc>
        <w:tc>
          <w:tcPr>
            <w:cnfStyle w:val="000010000000"/>
            <w:tcW w:w="798" w:type="dxa"/>
            <w:shd w:val="clear" w:color="auto" w:fill="auto"/>
            <w:vAlign w:val="center"/>
          </w:tcPr>
          <w:p w:rsidR="00C968F8" w:rsidRPr="00F429CB" w:rsidRDefault="00C968F8" w:rsidP="001F0251">
            <w:pPr>
              <w:tabs>
                <w:tab w:val="decimal" w:pos="244"/>
              </w:tabs>
              <w:adjustRightInd w:val="0"/>
              <w:snapToGrid w:val="0"/>
              <w:ind w:firstLineChars="0" w:firstLine="0"/>
              <w:rPr>
                <w:rFonts w:eastAsia="MS PGothic"/>
                <w:sz w:val="18"/>
                <w:szCs w:val="18"/>
              </w:rPr>
            </w:pPr>
            <w:r w:rsidRPr="00F429CB">
              <w:rPr>
                <w:rFonts w:eastAsia="MS PGothic"/>
                <w:sz w:val="18"/>
                <w:szCs w:val="18"/>
              </w:rPr>
              <w:t>2.529</w:t>
            </w:r>
          </w:p>
        </w:tc>
        <w:tc>
          <w:tcPr>
            <w:tcW w:w="799" w:type="dxa"/>
            <w:shd w:val="clear" w:color="auto" w:fill="auto"/>
            <w:vAlign w:val="center"/>
          </w:tcPr>
          <w:p w:rsidR="00C968F8" w:rsidRPr="00F429CB" w:rsidRDefault="00C968F8" w:rsidP="001F0251">
            <w:pPr>
              <w:tabs>
                <w:tab w:val="decimal" w:pos="170"/>
              </w:tabs>
              <w:adjustRightInd w:val="0"/>
              <w:snapToGrid w:val="0"/>
              <w:ind w:firstLineChars="0" w:firstLine="0"/>
              <w:cnfStyle w:val="000000100000"/>
              <w:rPr>
                <w:rFonts w:eastAsiaTheme="minorEastAsia"/>
                <w:sz w:val="18"/>
                <w:szCs w:val="18"/>
              </w:rPr>
            </w:pPr>
            <w:r w:rsidRPr="00F429CB">
              <w:rPr>
                <w:rFonts w:eastAsiaTheme="minorEastAsia"/>
                <w:sz w:val="18"/>
                <w:szCs w:val="18"/>
              </w:rPr>
              <w:t>3.07</w:t>
            </w:r>
            <w:r w:rsidRPr="00F429CB">
              <w:rPr>
                <w:rFonts w:eastAsiaTheme="minorEastAsia"/>
                <w:sz w:val="18"/>
                <w:szCs w:val="18"/>
                <w:vertAlign w:val="superscript"/>
              </w:rPr>
              <w:t>***</w:t>
            </w:r>
          </w:p>
        </w:tc>
      </w:tr>
      <w:tr w:rsidR="00C968F8" w:rsidRPr="00D51C66" w:rsidTr="00C968F8">
        <w:trPr>
          <w:trHeight w:val="255"/>
          <w:jc w:val="center"/>
        </w:trPr>
        <w:tc>
          <w:tcPr>
            <w:cnfStyle w:val="001000000000"/>
            <w:tcW w:w="1276" w:type="dxa"/>
            <w:shd w:val="clear" w:color="auto" w:fill="auto"/>
            <w:vAlign w:val="center"/>
          </w:tcPr>
          <w:p w:rsidR="00C968F8" w:rsidRPr="00C968F8" w:rsidRDefault="00C968F8" w:rsidP="001F0251">
            <w:pPr>
              <w:adjustRightInd w:val="0"/>
              <w:snapToGrid w:val="0"/>
              <w:ind w:firstLineChars="0" w:firstLine="0"/>
              <w:rPr>
                <w:rFonts w:eastAsia="MS PGothic"/>
                <w:b w:val="0"/>
                <w:i/>
                <w:sz w:val="18"/>
                <w:szCs w:val="18"/>
              </w:rPr>
            </w:pPr>
            <w:r w:rsidRPr="00C968F8">
              <w:rPr>
                <w:rFonts w:eastAsia="MS PGothic"/>
                <w:b w:val="0"/>
                <w:i/>
                <w:sz w:val="18"/>
                <w:szCs w:val="18"/>
              </w:rPr>
              <w:t>Compensation</w:t>
            </w:r>
          </w:p>
        </w:tc>
        <w:tc>
          <w:tcPr>
            <w:cnfStyle w:val="000010000000"/>
            <w:tcW w:w="992" w:type="dxa"/>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r w:rsidRPr="00D51C66">
              <w:rPr>
                <w:rFonts w:eastAsia="MS PGothic"/>
                <w:sz w:val="18"/>
                <w:szCs w:val="18"/>
              </w:rPr>
              <w:t>+</w:t>
            </w:r>
          </w:p>
        </w:tc>
        <w:tc>
          <w:tcPr>
            <w:tcW w:w="850" w:type="dxa"/>
            <w:shd w:val="clear" w:color="auto" w:fill="auto"/>
            <w:vAlign w:val="center"/>
          </w:tcPr>
          <w:p w:rsidR="00C968F8" w:rsidRPr="00C968F8" w:rsidRDefault="00C968F8" w:rsidP="001F0251">
            <w:pPr>
              <w:tabs>
                <w:tab w:val="decimal" w:pos="272"/>
              </w:tabs>
              <w:adjustRightInd w:val="0"/>
              <w:snapToGrid w:val="0"/>
              <w:ind w:firstLineChars="0" w:firstLine="0"/>
              <w:cnfStyle w:val="000000000000"/>
              <w:rPr>
                <w:rFonts w:eastAsia="MS PGothic"/>
                <w:sz w:val="18"/>
                <w:szCs w:val="18"/>
              </w:rPr>
            </w:pPr>
            <w:r w:rsidRPr="00C968F8">
              <w:rPr>
                <w:rFonts w:eastAsia="MS PGothic"/>
                <w:sz w:val="18"/>
                <w:szCs w:val="18"/>
              </w:rPr>
              <w:t>363.297</w:t>
            </w:r>
          </w:p>
        </w:tc>
        <w:tc>
          <w:tcPr>
            <w:cnfStyle w:val="000010000000"/>
            <w:tcW w:w="851" w:type="dxa"/>
            <w:shd w:val="clear" w:color="auto" w:fill="auto"/>
            <w:vAlign w:val="center"/>
          </w:tcPr>
          <w:p w:rsidR="00C968F8" w:rsidRPr="00C968F8" w:rsidRDefault="00C968F8" w:rsidP="001F0251">
            <w:pPr>
              <w:tabs>
                <w:tab w:val="decimal" w:pos="170"/>
              </w:tabs>
              <w:adjustRightInd w:val="0"/>
              <w:snapToGrid w:val="0"/>
              <w:ind w:firstLineChars="0" w:firstLine="0"/>
              <w:rPr>
                <w:rFonts w:eastAsiaTheme="minorEastAsia"/>
                <w:sz w:val="18"/>
                <w:szCs w:val="18"/>
              </w:rPr>
            </w:pPr>
            <w:r w:rsidRPr="00C968F8">
              <w:rPr>
                <w:rFonts w:eastAsiaTheme="minorEastAsia"/>
                <w:sz w:val="18"/>
                <w:szCs w:val="18"/>
              </w:rPr>
              <w:t>1.28</w:t>
            </w:r>
          </w:p>
        </w:tc>
        <w:tc>
          <w:tcPr>
            <w:tcW w:w="142" w:type="dxa"/>
            <w:tcBorders>
              <w:left w:val="nil"/>
            </w:tcBorders>
            <w:shd w:val="clear" w:color="auto" w:fill="auto"/>
            <w:vAlign w:val="center"/>
          </w:tcPr>
          <w:p w:rsidR="00C968F8" w:rsidRPr="00D51C66" w:rsidRDefault="00C968F8" w:rsidP="001F0251">
            <w:pPr>
              <w:adjustRightInd w:val="0"/>
              <w:snapToGrid w:val="0"/>
              <w:ind w:firstLineChars="0" w:firstLine="0"/>
              <w:cnfStyle w:val="000000000000"/>
              <w:rPr>
                <w:rFonts w:eastAsia="MS PGothic"/>
                <w:sz w:val="18"/>
                <w:szCs w:val="18"/>
              </w:rPr>
            </w:pPr>
          </w:p>
        </w:tc>
        <w:tc>
          <w:tcPr>
            <w:cnfStyle w:val="000010000000"/>
            <w:tcW w:w="850" w:type="dxa"/>
            <w:shd w:val="clear" w:color="auto" w:fill="auto"/>
            <w:vAlign w:val="center"/>
          </w:tcPr>
          <w:p w:rsidR="00C968F8" w:rsidRPr="00F429CB" w:rsidRDefault="00C968F8" w:rsidP="001F0251">
            <w:pPr>
              <w:tabs>
                <w:tab w:val="decimal" w:pos="272"/>
              </w:tabs>
              <w:adjustRightInd w:val="0"/>
              <w:snapToGrid w:val="0"/>
              <w:ind w:firstLineChars="0" w:firstLine="0"/>
              <w:rPr>
                <w:rFonts w:eastAsia="MS PGothic"/>
                <w:sz w:val="18"/>
                <w:szCs w:val="18"/>
              </w:rPr>
            </w:pPr>
            <w:r w:rsidRPr="00F429CB">
              <w:rPr>
                <w:rFonts w:eastAsia="MS PGothic"/>
                <w:sz w:val="18"/>
                <w:szCs w:val="18"/>
              </w:rPr>
              <w:t>366.112</w:t>
            </w:r>
          </w:p>
        </w:tc>
        <w:tc>
          <w:tcPr>
            <w:tcW w:w="851" w:type="dxa"/>
            <w:tcBorders>
              <w:right w:val="nil"/>
            </w:tcBorders>
            <w:shd w:val="clear" w:color="auto" w:fill="auto"/>
            <w:vAlign w:val="center"/>
          </w:tcPr>
          <w:p w:rsidR="00C968F8" w:rsidRPr="00C968F8" w:rsidRDefault="00C968F8" w:rsidP="001F0251">
            <w:pPr>
              <w:tabs>
                <w:tab w:val="decimal" w:pos="170"/>
              </w:tabs>
              <w:adjustRightInd w:val="0"/>
              <w:snapToGrid w:val="0"/>
              <w:ind w:firstLineChars="0" w:firstLine="0"/>
              <w:cnfStyle w:val="000000000000"/>
              <w:rPr>
                <w:rFonts w:eastAsiaTheme="minorEastAsia"/>
                <w:sz w:val="18"/>
                <w:szCs w:val="18"/>
              </w:rPr>
            </w:pPr>
            <w:r w:rsidRPr="00C968F8">
              <w:rPr>
                <w:rFonts w:eastAsiaTheme="minorEastAsia"/>
                <w:sz w:val="18"/>
                <w:szCs w:val="18"/>
              </w:rPr>
              <w:t>1.37</w:t>
            </w:r>
          </w:p>
        </w:tc>
        <w:tc>
          <w:tcPr>
            <w:cnfStyle w:val="000010000000"/>
            <w:tcW w:w="157" w:type="dxa"/>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p>
        </w:tc>
        <w:tc>
          <w:tcPr>
            <w:tcW w:w="843" w:type="dxa"/>
            <w:shd w:val="clear" w:color="auto" w:fill="auto"/>
            <w:vAlign w:val="center"/>
          </w:tcPr>
          <w:p w:rsidR="00C968F8" w:rsidRPr="00D51C66" w:rsidRDefault="00C968F8" w:rsidP="001F0251">
            <w:pPr>
              <w:tabs>
                <w:tab w:val="decimal" w:pos="272"/>
              </w:tabs>
              <w:adjustRightInd w:val="0"/>
              <w:snapToGrid w:val="0"/>
              <w:ind w:firstLineChars="0" w:firstLine="0"/>
              <w:cnfStyle w:val="000000000000"/>
              <w:rPr>
                <w:rFonts w:eastAsia="MS PGothic"/>
                <w:sz w:val="18"/>
                <w:szCs w:val="18"/>
              </w:rPr>
            </w:pPr>
            <w:r w:rsidRPr="00D51C66">
              <w:rPr>
                <w:rFonts w:eastAsia="MS PGothic"/>
                <w:sz w:val="18"/>
                <w:szCs w:val="18"/>
              </w:rPr>
              <w:t>300.307</w:t>
            </w:r>
          </w:p>
        </w:tc>
        <w:tc>
          <w:tcPr>
            <w:cnfStyle w:val="000010000000"/>
            <w:tcW w:w="843" w:type="dxa"/>
            <w:shd w:val="clear" w:color="auto" w:fill="auto"/>
            <w:vAlign w:val="center"/>
          </w:tcPr>
          <w:p w:rsidR="00C968F8" w:rsidRPr="00F429CB" w:rsidRDefault="00C968F8" w:rsidP="001F0251">
            <w:pPr>
              <w:tabs>
                <w:tab w:val="decimal" w:pos="170"/>
              </w:tabs>
              <w:adjustRightInd w:val="0"/>
              <w:snapToGrid w:val="0"/>
              <w:ind w:firstLineChars="0" w:firstLine="0"/>
              <w:rPr>
                <w:rFonts w:eastAsiaTheme="minorEastAsia"/>
                <w:sz w:val="18"/>
                <w:szCs w:val="18"/>
              </w:rPr>
            </w:pPr>
            <w:r w:rsidRPr="00F429CB">
              <w:rPr>
                <w:rFonts w:eastAsiaTheme="minorEastAsia"/>
                <w:sz w:val="18"/>
                <w:szCs w:val="18"/>
              </w:rPr>
              <w:t>1.03</w:t>
            </w:r>
          </w:p>
        </w:tc>
        <w:tc>
          <w:tcPr>
            <w:tcW w:w="160" w:type="dxa"/>
            <w:tcBorders>
              <w:left w:val="nil"/>
            </w:tcBorders>
            <w:shd w:val="clear" w:color="auto" w:fill="auto"/>
            <w:vAlign w:val="center"/>
          </w:tcPr>
          <w:p w:rsidR="00C968F8" w:rsidRPr="00D51C66" w:rsidRDefault="00C968F8" w:rsidP="001F0251">
            <w:pPr>
              <w:adjustRightInd w:val="0"/>
              <w:snapToGrid w:val="0"/>
              <w:ind w:firstLineChars="0" w:firstLine="0"/>
              <w:cnfStyle w:val="000000000000"/>
              <w:rPr>
                <w:rFonts w:eastAsia="MS PGothic"/>
                <w:sz w:val="18"/>
                <w:szCs w:val="18"/>
              </w:rPr>
            </w:pPr>
          </w:p>
        </w:tc>
        <w:tc>
          <w:tcPr>
            <w:cnfStyle w:val="000010000000"/>
            <w:tcW w:w="798" w:type="dxa"/>
            <w:shd w:val="clear" w:color="auto" w:fill="auto"/>
            <w:vAlign w:val="center"/>
          </w:tcPr>
          <w:p w:rsidR="00C968F8" w:rsidRPr="00F429CB" w:rsidRDefault="00C968F8" w:rsidP="001F0251">
            <w:pPr>
              <w:tabs>
                <w:tab w:val="decimal" w:pos="244"/>
              </w:tabs>
              <w:adjustRightInd w:val="0"/>
              <w:snapToGrid w:val="0"/>
              <w:ind w:firstLineChars="0" w:firstLine="0"/>
              <w:rPr>
                <w:rFonts w:eastAsiaTheme="minorEastAsia"/>
                <w:sz w:val="18"/>
                <w:szCs w:val="18"/>
                <w:lang w:eastAsia="zh-CN"/>
              </w:rPr>
            </w:pPr>
          </w:p>
        </w:tc>
        <w:tc>
          <w:tcPr>
            <w:tcW w:w="799" w:type="dxa"/>
            <w:shd w:val="clear" w:color="auto" w:fill="auto"/>
            <w:vAlign w:val="center"/>
          </w:tcPr>
          <w:p w:rsidR="00C968F8" w:rsidRPr="00F429CB" w:rsidRDefault="00C968F8" w:rsidP="001F0251">
            <w:pPr>
              <w:tabs>
                <w:tab w:val="decimal" w:pos="170"/>
              </w:tabs>
              <w:adjustRightInd w:val="0"/>
              <w:snapToGrid w:val="0"/>
              <w:ind w:firstLineChars="0" w:firstLine="0"/>
              <w:cnfStyle w:val="000000000000"/>
              <w:rPr>
                <w:rFonts w:eastAsiaTheme="minorEastAsia"/>
                <w:sz w:val="18"/>
                <w:szCs w:val="18"/>
                <w:lang w:eastAsia="zh-CN"/>
              </w:rPr>
            </w:pPr>
          </w:p>
        </w:tc>
      </w:tr>
      <w:tr w:rsidR="00C968F8" w:rsidRPr="00D51C66" w:rsidTr="00C968F8">
        <w:trPr>
          <w:cnfStyle w:val="000000100000"/>
          <w:trHeight w:val="255"/>
          <w:jc w:val="center"/>
        </w:trPr>
        <w:tc>
          <w:tcPr>
            <w:cnfStyle w:val="001000000000"/>
            <w:tcW w:w="1276" w:type="dxa"/>
            <w:shd w:val="clear" w:color="auto" w:fill="auto"/>
            <w:vAlign w:val="center"/>
          </w:tcPr>
          <w:p w:rsidR="00C968F8" w:rsidRPr="00C968F8" w:rsidRDefault="00C968F8" w:rsidP="001F0251">
            <w:pPr>
              <w:adjustRightInd w:val="0"/>
              <w:snapToGrid w:val="0"/>
              <w:ind w:firstLineChars="0" w:firstLine="0"/>
              <w:rPr>
                <w:rFonts w:eastAsia="MS PGothic"/>
                <w:b w:val="0"/>
                <w:i/>
                <w:sz w:val="18"/>
                <w:szCs w:val="18"/>
              </w:rPr>
            </w:pPr>
            <w:r w:rsidRPr="00C968F8">
              <w:rPr>
                <w:rFonts w:eastAsia="MS PGothic"/>
                <w:b w:val="0"/>
                <w:i/>
                <w:sz w:val="18"/>
                <w:szCs w:val="18"/>
              </w:rPr>
              <w:t>Leverage</w:t>
            </w:r>
          </w:p>
        </w:tc>
        <w:tc>
          <w:tcPr>
            <w:cnfStyle w:val="000010000000"/>
            <w:tcW w:w="992" w:type="dxa"/>
            <w:shd w:val="clear" w:color="auto" w:fill="auto"/>
            <w:vAlign w:val="center"/>
          </w:tcPr>
          <w:p w:rsidR="00C968F8" w:rsidRPr="00F429CB" w:rsidRDefault="00F429CB" w:rsidP="001F0251">
            <w:pPr>
              <w:adjustRightInd w:val="0"/>
              <w:snapToGrid w:val="0"/>
              <w:ind w:firstLineChars="0" w:firstLine="0"/>
              <w:rPr>
                <w:rFonts w:eastAsiaTheme="minorEastAsia"/>
                <w:sz w:val="18"/>
                <w:szCs w:val="18"/>
                <w:lang w:eastAsia="zh-CN"/>
              </w:rPr>
            </w:pPr>
            <w:r>
              <w:rPr>
                <w:rFonts w:eastAsia="MS PGothic"/>
                <w:sz w:val="18"/>
                <w:szCs w:val="18"/>
              </w:rPr>
              <w:t>+/</w:t>
            </w:r>
            <w:r w:rsidR="006072A1">
              <w:rPr>
                <w:rFonts w:eastAsiaTheme="minorEastAsia" w:hint="eastAsia"/>
                <w:sz w:val="18"/>
                <w:szCs w:val="18"/>
                <w:lang w:eastAsia="zh-CN"/>
              </w:rPr>
              <w:t>-</w:t>
            </w:r>
          </w:p>
        </w:tc>
        <w:tc>
          <w:tcPr>
            <w:tcW w:w="850" w:type="dxa"/>
            <w:shd w:val="clear" w:color="auto" w:fill="auto"/>
            <w:vAlign w:val="center"/>
          </w:tcPr>
          <w:p w:rsidR="00C968F8" w:rsidRPr="00C968F8" w:rsidRDefault="00C968F8" w:rsidP="001F0251">
            <w:pPr>
              <w:tabs>
                <w:tab w:val="decimal" w:pos="272"/>
              </w:tabs>
              <w:adjustRightInd w:val="0"/>
              <w:snapToGrid w:val="0"/>
              <w:ind w:firstLineChars="0" w:firstLine="0"/>
              <w:cnfStyle w:val="000000100000"/>
              <w:rPr>
                <w:rFonts w:eastAsia="MS PGothic"/>
                <w:sz w:val="18"/>
                <w:szCs w:val="18"/>
              </w:rPr>
            </w:pPr>
            <w:r w:rsidRPr="00C968F8">
              <w:rPr>
                <w:rFonts w:eastAsia="MS PGothic"/>
                <w:sz w:val="18"/>
                <w:szCs w:val="18"/>
              </w:rPr>
              <w:t>1.247</w:t>
            </w:r>
          </w:p>
        </w:tc>
        <w:tc>
          <w:tcPr>
            <w:cnfStyle w:val="000010000000"/>
            <w:tcW w:w="851" w:type="dxa"/>
            <w:shd w:val="clear" w:color="auto" w:fill="auto"/>
            <w:vAlign w:val="center"/>
          </w:tcPr>
          <w:p w:rsidR="00C968F8" w:rsidRPr="00C968F8" w:rsidRDefault="00C968F8" w:rsidP="001F0251">
            <w:pPr>
              <w:tabs>
                <w:tab w:val="decimal" w:pos="170"/>
              </w:tabs>
              <w:adjustRightInd w:val="0"/>
              <w:snapToGrid w:val="0"/>
              <w:ind w:firstLineChars="0" w:firstLine="0"/>
              <w:rPr>
                <w:rFonts w:eastAsiaTheme="minorEastAsia"/>
                <w:sz w:val="18"/>
                <w:szCs w:val="18"/>
              </w:rPr>
            </w:pPr>
            <w:r w:rsidRPr="00C968F8">
              <w:rPr>
                <w:rFonts w:eastAsiaTheme="minorEastAsia"/>
                <w:sz w:val="18"/>
                <w:szCs w:val="18"/>
              </w:rPr>
              <w:t>2.58</w:t>
            </w:r>
            <w:r w:rsidRPr="00F429CB">
              <w:rPr>
                <w:rFonts w:eastAsiaTheme="minorEastAsia"/>
                <w:sz w:val="18"/>
                <w:szCs w:val="18"/>
                <w:vertAlign w:val="superscript"/>
              </w:rPr>
              <w:t>**</w:t>
            </w:r>
          </w:p>
        </w:tc>
        <w:tc>
          <w:tcPr>
            <w:tcW w:w="142" w:type="dxa"/>
            <w:shd w:val="clear" w:color="auto" w:fill="auto"/>
            <w:vAlign w:val="center"/>
          </w:tcPr>
          <w:p w:rsidR="00C968F8" w:rsidRPr="00D51C66" w:rsidRDefault="00C968F8" w:rsidP="001F0251">
            <w:pPr>
              <w:adjustRightInd w:val="0"/>
              <w:snapToGrid w:val="0"/>
              <w:ind w:firstLineChars="0" w:firstLine="0"/>
              <w:cnfStyle w:val="000000100000"/>
              <w:rPr>
                <w:rFonts w:eastAsia="MS PGothic"/>
                <w:sz w:val="18"/>
                <w:szCs w:val="18"/>
              </w:rPr>
            </w:pPr>
          </w:p>
        </w:tc>
        <w:tc>
          <w:tcPr>
            <w:cnfStyle w:val="000010000000"/>
            <w:tcW w:w="850" w:type="dxa"/>
            <w:shd w:val="clear" w:color="auto" w:fill="auto"/>
            <w:vAlign w:val="center"/>
          </w:tcPr>
          <w:p w:rsidR="00C968F8" w:rsidRPr="00F429CB" w:rsidRDefault="00C968F8" w:rsidP="001F0251">
            <w:pPr>
              <w:tabs>
                <w:tab w:val="decimal" w:pos="272"/>
              </w:tabs>
              <w:adjustRightInd w:val="0"/>
              <w:snapToGrid w:val="0"/>
              <w:ind w:firstLineChars="0" w:firstLine="0"/>
              <w:rPr>
                <w:rFonts w:eastAsiaTheme="minorEastAsia"/>
                <w:sz w:val="18"/>
                <w:szCs w:val="18"/>
                <w:lang w:eastAsia="zh-CN"/>
              </w:rPr>
            </w:pPr>
          </w:p>
        </w:tc>
        <w:tc>
          <w:tcPr>
            <w:tcW w:w="851" w:type="dxa"/>
            <w:shd w:val="clear" w:color="auto" w:fill="auto"/>
            <w:vAlign w:val="center"/>
          </w:tcPr>
          <w:p w:rsidR="00C968F8" w:rsidRPr="00C968F8" w:rsidRDefault="00C968F8" w:rsidP="001F0251">
            <w:pPr>
              <w:tabs>
                <w:tab w:val="decimal" w:pos="170"/>
              </w:tabs>
              <w:adjustRightInd w:val="0"/>
              <w:snapToGrid w:val="0"/>
              <w:ind w:firstLineChars="0" w:firstLine="0"/>
              <w:cnfStyle w:val="000000100000"/>
              <w:rPr>
                <w:rFonts w:eastAsiaTheme="minorEastAsia"/>
                <w:sz w:val="18"/>
                <w:szCs w:val="18"/>
                <w:lang w:eastAsia="zh-CN"/>
              </w:rPr>
            </w:pPr>
          </w:p>
        </w:tc>
        <w:tc>
          <w:tcPr>
            <w:cnfStyle w:val="000010000000"/>
            <w:tcW w:w="157" w:type="dxa"/>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p>
        </w:tc>
        <w:tc>
          <w:tcPr>
            <w:tcW w:w="843" w:type="dxa"/>
            <w:shd w:val="clear" w:color="auto" w:fill="auto"/>
            <w:vAlign w:val="center"/>
          </w:tcPr>
          <w:p w:rsidR="00C968F8" w:rsidRPr="00D51C66" w:rsidRDefault="00C968F8" w:rsidP="001F0251">
            <w:pPr>
              <w:tabs>
                <w:tab w:val="decimal" w:pos="272"/>
              </w:tabs>
              <w:adjustRightInd w:val="0"/>
              <w:snapToGrid w:val="0"/>
              <w:ind w:firstLineChars="0" w:firstLine="0"/>
              <w:cnfStyle w:val="000000100000"/>
              <w:rPr>
                <w:rFonts w:eastAsia="MS PGothic"/>
                <w:sz w:val="18"/>
                <w:szCs w:val="18"/>
              </w:rPr>
            </w:pPr>
            <w:r w:rsidRPr="00D51C66">
              <w:rPr>
                <w:rFonts w:eastAsia="MS PGothic"/>
                <w:sz w:val="18"/>
                <w:szCs w:val="18"/>
              </w:rPr>
              <w:t>1.069</w:t>
            </w:r>
          </w:p>
        </w:tc>
        <w:tc>
          <w:tcPr>
            <w:cnfStyle w:val="000010000000"/>
            <w:tcW w:w="843" w:type="dxa"/>
            <w:shd w:val="clear" w:color="auto" w:fill="auto"/>
            <w:vAlign w:val="center"/>
          </w:tcPr>
          <w:p w:rsidR="00C968F8" w:rsidRPr="00F429CB" w:rsidRDefault="00C968F8" w:rsidP="001F0251">
            <w:pPr>
              <w:tabs>
                <w:tab w:val="decimal" w:pos="170"/>
              </w:tabs>
              <w:adjustRightInd w:val="0"/>
              <w:snapToGrid w:val="0"/>
              <w:ind w:firstLineChars="0" w:firstLine="0"/>
              <w:rPr>
                <w:rFonts w:eastAsiaTheme="minorEastAsia"/>
                <w:sz w:val="18"/>
                <w:szCs w:val="18"/>
              </w:rPr>
            </w:pPr>
            <w:r w:rsidRPr="00F429CB">
              <w:rPr>
                <w:rFonts w:eastAsiaTheme="minorEastAsia"/>
                <w:sz w:val="18"/>
                <w:szCs w:val="18"/>
              </w:rPr>
              <w:t>2.21</w:t>
            </w:r>
            <w:r w:rsidRPr="00F429CB">
              <w:rPr>
                <w:rFonts w:eastAsiaTheme="minorEastAsia"/>
                <w:sz w:val="18"/>
                <w:szCs w:val="18"/>
                <w:vertAlign w:val="superscript"/>
              </w:rPr>
              <w:t>**</w:t>
            </w:r>
          </w:p>
        </w:tc>
        <w:tc>
          <w:tcPr>
            <w:tcW w:w="160" w:type="dxa"/>
            <w:shd w:val="clear" w:color="auto" w:fill="auto"/>
            <w:vAlign w:val="center"/>
          </w:tcPr>
          <w:p w:rsidR="00C968F8" w:rsidRPr="00D51C66" w:rsidRDefault="00C968F8" w:rsidP="001F0251">
            <w:pPr>
              <w:adjustRightInd w:val="0"/>
              <w:snapToGrid w:val="0"/>
              <w:ind w:firstLineChars="0" w:firstLine="0"/>
              <w:cnfStyle w:val="000000100000"/>
              <w:rPr>
                <w:rFonts w:eastAsia="MS PGothic"/>
                <w:sz w:val="18"/>
                <w:szCs w:val="18"/>
              </w:rPr>
            </w:pPr>
          </w:p>
        </w:tc>
        <w:tc>
          <w:tcPr>
            <w:cnfStyle w:val="000010000000"/>
            <w:tcW w:w="798" w:type="dxa"/>
            <w:shd w:val="clear" w:color="auto" w:fill="auto"/>
            <w:vAlign w:val="center"/>
          </w:tcPr>
          <w:p w:rsidR="00C968F8" w:rsidRPr="00F429CB" w:rsidRDefault="00C968F8" w:rsidP="001F0251">
            <w:pPr>
              <w:tabs>
                <w:tab w:val="decimal" w:pos="244"/>
              </w:tabs>
              <w:adjustRightInd w:val="0"/>
              <w:snapToGrid w:val="0"/>
              <w:ind w:firstLineChars="0" w:firstLine="0"/>
              <w:rPr>
                <w:rFonts w:eastAsia="MS PGothic"/>
                <w:sz w:val="18"/>
                <w:szCs w:val="18"/>
              </w:rPr>
            </w:pPr>
            <w:r w:rsidRPr="00F429CB">
              <w:rPr>
                <w:rFonts w:eastAsia="MS PGothic"/>
                <w:sz w:val="18"/>
                <w:szCs w:val="18"/>
              </w:rPr>
              <w:t>1.063</w:t>
            </w:r>
          </w:p>
        </w:tc>
        <w:tc>
          <w:tcPr>
            <w:tcW w:w="799" w:type="dxa"/>
            <w:shd w:val="clear" w:color="auto" w:fill="auto"/>
            <w:vAlign w:val="center"/>
          </w:tcPr>
          <w:p w:rsidR="00C968F8" w:rsidRPr="00F429CB" w:rsidRDefault="00C968F8" w:rsidP="001F0251">
            <w:pPr>
              <w:tabs>
                <w:tab w:val="decimal" w:pos="170"/>
              </w:tabs>
              <w:adjustRightInd w:val="0"/>
              <w:snapToGrid w:val="0"/>
              <w:ind w:firstLineChars="0" w:firstLine="0"/>
              <w:cnfStyle w:val="000000100000"/>
              <w:rPr>
                <w:rFonts w:eastAsiaTheme="minorEastAsia"/>
                <w:sz w:val="18"/>
                <w:szCs w:val="18"/>
              </w:rPr>
            </w:pPr>
            <w:r w:rsidRPr="00F429CB">
              <w:rPr>
                <w:rFonts w:eastAsiaTheme="minorEastAsia"/>
                <w:sz w:val="18"/>
                <w:szCs w:val="18"/>
              </w:rPr>
              <w:t>2.2</w:t>
            </w:r>
            <w:r w:rsidRPr="00F429CB">
              <w:rPr>
                <w:rFonts w:eastAsiaTheme="minorEastAsia"/>
                <w:sz w:val="18"/>
                <w:szCs w:val="18"/>
                <w:vertAlign w:val="superscript"/>
              </w:rPr>
              <w:t>**</w:t>
            </w:r>
          </w:p>
        </w:tc>
      </w:tr>
      <w:tr w:rsidR="00C968F8" w:rsidRPr="00D51C66" w:rsidTr="00C968F8">
        <w:trPr>
          <w:trHeight w:val="255"/>
          <w:jc w:val="center"/>
        </w:trPr>
        <w:tc>
          <w:tcPr>
            <w:cnfStyle w:val="001000000000"/>
            <w:tcW w:w="1276" w:type="dxa"/>
            <w:shd w:val="clear" w:color="auto" w:fill="auto"/>
            <w:vAlign w:val="center"/>
          </w:tcPr>
          <w:p w:rsidR="00C968F8" w:rsidRPr="00D51C66" w:rsidRDefault="00C968F8" w:rsidP="001F0251">
            <w:pPr>
              <w:adjustRightInd w:val="0"/>
              <w:snapToGrid w:val="0"/>
              <w:ind w:firstLineChars="0" w:firstLine="0"/>
              <w:rPr>
                <w:rFonts w:eastAsia="MS PGothic"/>
                <w:b w:val="0"/>
                <w:sz w:val="18"/>
                <w:szCs w:val="18"/>
              </w:rPr>
            </w:pPr>
            <w:r w:rsidRPr="00C968F8">
              <w:rPr>
                <w:rFonts w:eastAsia="MS PGothic"/>
                <w:b w:val="0"/>
                <w:i/>
                <w:sz w:val="18"/>
                <w:szCs w:val="18"/>
              </w:rPr>
              <w:t>Current</w:t>
            </w:r>
            <w:r w:rsidRPr="00D51C66">
              <w:rPr>
                <w:rFonts w:eastAsia="MS PGothic"/>
                <w:b w:val="0"/>
                <w:sz w:val="18"/>
                <w:szCs w:val="18"/>
              </w:rPr>
              <w:t>_</w:t>
            </w:r>
            <w:r w:rsidRPr="00C968F8">
              <w:rPr>
                <w:rFonts w:eastAsia="MS PGothic"/>
                <w:b w:val="0"/>
                <w:i/>
                <w:sz w:val="18"/>
                <w:szCs w:val="18"/>
              </w:rPr>
              <w:t>rate</w:t>
            </w:r>
          </w:p>
        </w:tc>
        <w:tc>
          <w:tcPr>
            <w:cnfStyle w:val="000010000000"/>
            <w:tcW w:w="992" w:type="dxa"/>
            <w:shd w:val="clear" w:color="auto" w:fill="auto"/>
            <w:vAlign w:val="center"/>
          </w:tcPr>
          <w:p w:rsidR="00C968F8" w:rsidRPr="00F429CB" w:rsidRDefault="00F429CB" w:rsidP="001F0251">
            <w:pPr>
              <w:adjustRightInd w:val="0"/>
              <w:snapToGrid w:val="0"/>
              <w:ind w:firstLineChars="0" w:firstLine="0"/>
              <w:rPr>
                <w:rFonts w:eastAsiaTheme="minorEastAsia"/>
                <w:sz w:val="18"/>
                <w:szCs w:val="18"/>
                <w:lang w:eastAsia="zh-CN"/>
              </w:rPr>
            </w:pPr>
            <w:r>
              <w:rPr>
                <w:rFonts w:eastAsia="MS PGothic"/>
                <w:sz w:val="18"/>
                <w:szCs w:val="18"/>
              </w:rPr>
              <w:t>+/</w:t>
            </w:r>
            <w:r w:rsidR="006072A1">
              <w:rPr>
                <w:rFonts w:eastAsiaTheme="minorEastAsia" w:hint="eastAsia"/>
                <w:sz w:val="18"/>
                <w:szCs w:val="18"/>
                <w:lang w:eastAsia="zh-CN"/>
              </w:rPr>
              <w:t>-</w:t>
            </w:r>
          </w:p>
        </w:tc>
        <w:tc>
          <w:tcPr>
            <w:tcW w:w="850" w:type="dxa"/>
            <w:shd w:val="clear" w:color="auto" w:fill="auto"/>
            <w:vAlign w:val="center"/>
          </w:tcPr>
          <w:p w:rsidR="00C968F8" w:rsidRPr="00C968F8" w:rsidRDefault="00C968F8" w:rsidP="001F0251">
            <w:pPr>
              <w:tabs>
                <w:tab w:val="decimal" w:pos="272"/>
              </w:tabs>
              <w:adjustRightInd w:val="0"/>
              <w:snapToGrid w:val="0"/>
              <w:ind w:firstLineChars="0" w:firstLine="0"/>
              <w:cnfStyle w:val="000000000000"/>
              <w:rPr>
                <w:rFonts w:eastAsia="MS PGothic"/>
                <w:sz w:val="18"/>
                <w:szCs w:val="18"/>
              </w:rPr>
            </w:pPr>
            <w:r w:rsidRPr="00C968F8">
              <w:rPr>
                <w:rFonts w:eastAsia="MS PGothic"/>
                <w:sz w:val="18"/>
                <w:szCs w:val="18"/>
              </w:rPr>
              <w:t>-0.999</w:t>
            </w:r>
          </w:p>
        </w:tc>
        <w:tc>
          <w:tcPr>
            <w:cnfStyle w:val="000010000000"/>
            <w:tcW w:w="851" w:type="dxa"/>
            <w:shd w:val="clear" w:color="auto" w:fill="auto"/>
            <w:vAlign w:val="center"/>
          </w:tcPr>
          <w:p w:rsidR="00C968F8" w:rsidRPr="00C968F8" w:rsidRDefault="00C968F8" w:rsidP="001F0251">
            <w:pPr>
              <w:tabs>
                <w:tab w:val="decimal" w:pos="170"/>
              </w:tabs>
              <w:adjustRightInd w:val="0"/>
              <w:snapToGrid w:val="0"/>
              <w:ind w:firstLineChars="0" w:firstLine="0"/>
              <w:rPr>
                <w:rFonts w:eastAsiaTheme="minorEastAsia"/>
                <w:sz w:val="18"/>
                <w:szCs w:val="18"/>
              </w:rPr>
            </w:pPr>
            <w:r w:rsidRPr="00C968F8">
              <w:rPr>
                <w:rFonts w:eastAsiaTheme="minorEastAsia"/>
                <w:sz w:val="18"/>
                <w:szCs w:val="18"/>
              </w:rPr>
              <w:t>-2.42</w:t>
            </w:r>
            <w:r w:rsidRPr="00F429CB">
              <w:rPr>
                <w:rFonts w:eastAsiaTheme="minorEastAsia"/>
                <w:sz w:val="18"/>
                <w:szCs w:val="18"/>
                <w:vertAlign w:val="superscript"/>
              </w:rPr>
              <w:t>**</w:t>
            </w:r>
          </w:p>
        </w:tc>
        <w:tc>
          <w:tcPr>
            <w:tcW w:w="142" w:type="dxa"/>
            <w:tcBorders>
              <w:left w:val="nil"/>
            </w:tcBorders>
            <w:shd w:val="clear" w:color="auto" w:fill="auto"/>
            <w:vAlign w:val="center"/>
          </w:tcPr>
          <w:p w:rsidR="00C968F8" w:rsidRPr="00D51C66" w:rsidRDefault="00C968F8" w:rsidP="001F0251">
            <w:pPr>
              <w:adjustRightInd w:val="0"/>
              <w:snapToGrid w:val="0"/>
              <w:ind w:firstLineChars="0" w:firstLine="0"/>
              <w:cnfStyle w:val="000000000000"/>
              <w:rPr>
                <w:rFonts w:eastAsia="MS PGothic"/>
                <w:sz w:val="18"/>
                <w:szCs w:val="18"/>
              </w:rPr>
            </w:pPr>
          </w:p>
        </w:tc>
        <w:tc>
          <w:tcPr>
            <w:cnfStyle w:val="000010000000"/>
            <w:tcW w:w="850" w:type="dxa"/>
            <w:shd w:val="clear" w:color="auto" w:fill="auto"/>
            <w:vAlign w:val="center"/>
          </w:tcPr>
          <w:p w:rsidR="00C968F8" w:rsidRPr="00F429CB" w:rsidRDefault="00C968F8" w:rsidP="001F0251">
            <w:pPr>
              <w:tabs>
                <w:tab w:val="decimal" w:pos="272"/>
              </w:tabs>
              <w:adjustRightInd w:val="0"/>
              <w:snapToGrid w:val="0"/>
              <w:ind w:firstLineChars="0" w:firstLine="0"/>
              <w:rPr>
                <w:rFonts w:eastAsia="MS PGothic"/>
                <w:sz w:val="18"/>
                <w:szCs w:val="18"/>
              </w:rPr>
            </w:pPr>
            <w:r w:rsidRPr="00F429CB">
              <w:rPr>
                <w:rFonts w:eastAsia="MS PGothic"/>
                <w:sz w:val="18"/>
                <w:szCs w:val="18"/>
              </w:rPr>
              <w:t>-1.059</w:t>
            </w:r>
          </w:p>
        </w:tc>
        <w:tc>
          <w:tcPr>
            <w:tcW w:w="851" w:type="dxa"/>
            <w:tcBorders>
              <w:right w:val="nil"/>
            </w:tcBorders>
            <w:shd w:val="clear" w:color="auto" w:fill="auto"/>
            <w:vAlign w:val="center"/>
          </w:tcPr>
          <w:p w:rsidR="00C968F8" w:rsidRPr="00C968F8" w:rsidRDefault="00C968F8" w:rsidP="001F0251">
            <w:pPr>
              <w:tabs>
                <w:tab w:val="decimal" w:pos="170"/>
              </w:tabs>
              <w:adjustRightInd w:val="0"/>
              <w:snapToGrid w:val="0"/>
              <w:ind w:firstLineChars="0" w:firstLine="0"/>
              <w:cnfStyle w:val="000000000000"/>
              <w:rPr>
                <w:rFonts w:eastAsiaTheme="minorEastAsia"/>
                <w:sz w:val="18"/>
                <w:szCs w:val="18"/>
              </w:rPr>
            </w:pPr>
            <w:r w:rsidRPr="00C968F8">
              <w:rPr>
                <w:rFonts w:eastAsiaTheme="minorEastAsia"/>
                <w:sz w:val="18"/>
                <w:szCs w:val="18"/>
              </w:rPr>
              <w:t>-2.9</w:t>
            </w:r>
            <w:r w:rsidR="00FD3DF3">
              <w:rPr>
                <w:rFonts w:eastAsiaTheme="minorEastAsia" w:hint="eastAsia"/>
                <w:sz w:val="18"/>
                <w:szCs w:val="18"/>
                <w:lang w:eastAsia="zh-CN"/>
              </w:rPr>
              <w:t>0</w:t>
            </w:r>
            <w:r w:rsidRPr="00F429CB">
              <w:rPr>
                <w:rFonts w:eastAsiaTheme="minorEastAsia"/>
                <w:sz w:val="18"/>
                <w:szCs w:val="18"/>
                <w:vertAlign w:val="superscript"/>
              </w:rPr>
              <w:t>***</w:t>
            </w:r>
          </w:p>
        </w:tc>
        <w:tc>
          <w:tcPr>
            <w:cnfStyle w:val="000010000000"/>
            <w:tcW w:w="157" w:type="dxa"/>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p>
        </w:tc>
        <w:tc>
          <w:tcPr>
            <w:tcW w:w="843" w:type="dxa"/>
            <w:shd w:val="clear" w:color="auto" w:fill="auto"/>
            <w:vAlign w:val="center"/>
          </w:tcPr>
          <w:p w:rsidR="00C968F8" w:rsidRPr="00D51C66" w:rsidRDefault="00C968F8" w:rsidP="001F0251">
            <w:pPr>
              <w:tabs>
                <w:tab w:val="decimal" w:pos="272"/>
              </w:tabs>
              <w:adjustRightInd w:val="0"/>
              <w:snapToGrid w:val="0"/>
              <w:ind w:firstLineChars="0" w:firstLine="0"/>
              <w:cnfStyle w:val="000000000000"/>
              <w:rPr>
                <w:rFonts w:eastAsia="MS PGothic"/>
                <w:sz w:val="18"/>
                <w:szCs w:val="18"/>
              </w:rPr>
            </w:pPr>
            <w:r w:rsidRPr="00D51C66">
              <w:rPr>
                <w:rFonts w:eastAsia="MS PGothic"/>
                <w:sz w:val="18"/>
                <w:szCs w:val="18"/>
              </w:rPr>
              <w:t>-1.022</w:t>
            </w:r>
          </w:p>
        </w:tc>
        <w:tc>
          <w:tcPr>
            <w:cnfStyle w:val="000010000000"/>
            <w:tcW w:w="843" w:type="dxa"/>
            <w:shd w:val="clear" w:color="auto" w:fill="auto"/>
            <w:vAlign w:val="center"/>
          </w:tcPr>
          <w:p w:rsidR="00C968F8" w:rsidRPr="00F429CB" w:rsidRDefault="00C968F8" w:rsidP="001F0251">
            <w:pPr>
              <w:tabs>
                <w:tab w:val="decimal" w:pos="170"/>
              </w:tabs>
              <w:adjustRightInd w:val="0"/>
              <w:snapToGrid w:val="0"/>
              <w:ind w:firstLineChars="0" w:firstLine="0"/>
              <w:rPr>
                <w:rFonts w:eastAsiaTheme="minorEastAsia"/>
                <w:sz w:val="18"/>
                <w:szCs w:val="18"/>
              </w:rPr>
            </w:pPr>
            <w:r w:rsidRPr="00F429CB">
              <w:rPr>
                <w:rFonts w:eastAsiaTheme="minorEastAsia"/>
                <w:sz w:val="18"/>
                <w:szCs w:val="18"/>
              </w:rPr>
              <w:t>-2.46</w:t>
            </w:r>
            <w:r w:rsidRPr="00F429CB">
              <w:rPr>
                <w:rFonts w:eastAsiaTheme="minorEastAsia"/>
                <w:sz w:val="18"/>
                <w:szCs w:val="18"/>
                <w:vertAlign w:val="superscript"/>
              </w:rPr>
              <w:t>**</w:t>
            </w:r>
          </w:p>
        </w:tc>
        <w:tc>
          <w:tcPr>
            <w:tcW w:w="160" w:type="dxa"/>
            <w:tcBorders>
              <w:left w:val="nil"/>
            </w:tcBorders>
            <w:shd w:val="clear" w:color="auto" w:fill="auto"/>
            <w:vAlign w:val="center"/>
          </w:tcPr>
          <w:p w:rsidR="00C968F8" w:rsidRPr="00D51C66" w:rsidRDefault="00C968F8" w:rsidP="001F0251">
            <w:pPr>
              <w:adjustRightInd w:val="0"/>
              <w:snapToGrid w:val="0"/>
              <w:ind w:firstLineChars="0" w:firstLine="0"/>
              <w:cnfStyle w:val="000000000000"/>
              <w:rPr>
                <w:rFonts w:eastAsia="MS PGothic"/>
                <w:sz w:val="18"/>
                <w:szCs w:val="18"/>
              </w:rPr>
            </w:pPr>
          </w:p>
        </w:tc>
        <w:tc>
          <w:tcPr>
            <w:cnfStyle w:val="000010000000"/>
            <w:tcW w:w="798" w:type="dxa"/>
            <w:shd w:val="clear" w:color="auto" w:fill="auto"/>
            <w:vAlign w:val="center"/>
          </w:tcPr>
          <w:p w:rsidR="00C968F8" w:rsidRPr="00F429CB" w:rsidRDefault="00C968F8" w:rsidP="001F0251">
            <w:pPr>
              <w:tabs>
                <w:tab w:val="decimal" w:pos="244"/>
              </w:tabs>
              <w:adjustRightInd w:val="0"/>
              <w:snapToGrid w:val="0"/>
              <w:ind w:firstLineChars="0" w:firstLine="0"/>
              <w:rPr>
                <w:rFonts w:eastAsia="MS PGothic"/>
                <w:sz w:val="18"/>
                <w:szCs w:val="18"/>
              </w:rPr>
            </w:pPr>
            <w:r w:rsidRPr="00F429CB">
              <w:rPr>
                <w:rFonts w:eastAsia="MS PGothic"/>
                <w:sz w:val="18"/>
                <w:szCs w:val="18"/>
              </w:rPr>
              <w:t>-1.087</w:t>
            </w:r>
          </w:p>
        </w:tc>
        <w:tc>
          <w:tcPr>
            <w:tcW w:w="799" w:type="dxa"/>
            <w:shd w:val="clear" w:color="auto" w:fill="auto"/>
            <w:vAlign w:val="center"/>
          </w:tcPr>
          <w:p w:rsidR="00C968F8" w:rsidRPr="00F429CB" w:rsidRDefault="00C968F8" w:rsidP="001F0251">
            <w:pPr>
              <w:tabs>
                <w:tab w:val="decimal" w:pos="170"/>
              </w:tabs>
              <w:adjustRightInd w:val="0"/>
              <w:snapToGrid w:val="0"/>
              <w:ind w:firstLineChars="0" w:firstLine="0"/>
              <w:cnfStyle w:val="000000000000"/>
              <w:rPr>
                <w:rFonts w:eastAsiaTheme="minorEastAsia"/>
                <w:sz w:val="18"/>
                <w:szCs w:val="18"/>
              </w:rPr>
            </w:pPr>
            <w:r w:rsidRPr="00F429CB">
              <w:rPr>
                <w:rFonts w:eastAsiaTheme="minorEastAsia"/>
                <w:sz w:val="18"/>
                <w:szCs w:val="18"/>
              </w:rPr>
              <w:t>-2.77</w:t>
            </w:r>
            <w:r w:rsidRPr="00F429CB">
              <w:rPr>
                <w:rFonts w:eastAsiaTheme="minorEastAsia"/>
                <w:sz w:val="18"/>
                <w:szCs w:val="18"/>
                <w:vertAlign w:val="superscript"/>
              </w:rPr>
              <w:t>***</w:t>
            </w:r>
          </w:p>
        </w:tc>
      </w:tr>
      <w:tr w:rsidR="00C968F8" w:rsidRPr="00D51C66" w:rsidTr="00C968F8">
        <w:trPr>
          <w:cnfStyle w:val="000000100000"/>
          <w:trHeight w:val="255"/>
          <w:jc w:val="center"/>
        </w:trPr>
        <w:tc>
          <w:tcPr>
            <w:cnfStyle w:val="001000000000"/>
            <w:tcW w:w="1276" w:type="dxa"/>
            <w:shd w:val="clear" w:color="auto" w:fill="auto"/>
            <w:vAlign w:val="center"/>
          </w:tcPr>
          <w:p w:rsidR="00C968F8" w:rsidRPr="00C968F8" w:rsidRDefault="00C968F8" w:rsidP="001F0251">
            <w:pPr>
              <w:adjustRightInd w:val="0"/>
              <w:snapToGrid w:val="0"/>
              <w:ind w:firstLineChars="0" w:firstLine="0"/>
              <w:rPr>
                <w:rFonts w:eastAsia="MS PGothic"/>
                <w:b w:val="0"/>
                <w:i/>
                <w:sz w:val="18"/>
                <w:szCs w:val="18"/>
              </w:rPr>
            </w:pPr>
            <w:r w:rsidRPr="00C968F8">
              <w:rPr>
                <w:rFonts w:eastAsia="MS PGothic"/>
                <w:b w:val="0"/>
                <w:i/>
                <w:sz w:val="18"/>
                <w:szCs w:val="18"/>
              </w:rPr>
              <w:t>Interestcoverage</w:t>
            </w:r>
          </w:p>
        </w:tc>
        <w:tc>
          <w:tcPr>
            <w:cnfStyle w:val="000010000000"/>
            <w:tcW w:w="992" w:type="dxa"/>
            <w:shd w:val="clear" w:color="auto" w:fill="auto"/>
            <w:vAlign w:val="center"/>
          </w:tcPr>
          <w:p w:rsidR="00C968F8" w:rsidRPr="00F429CB" w:rsidRDefault="00F429CB" w:rsidP="001F0251">
            <w:pPr>
              <w:adjustRightInd w:val="0"/>
              <w:snapToGrid w:val="0"/>
              <w:ind w:firstLineChars="0" w:firstLine="0"/>
              <w:rPr>
                <w:rFonts w:eastAsiaTheme="minorEastAsia"/>
                <w:sz w:val="18"/>
                <w:szCs w:val="18"/>
                <w:lang w:eastAsia="zh-CN"/>
              </w:rPr>
            </w:pPr>
            <w:r>
              <w:rPr>
                <w:rFonts w:eastAsia="MS PGothic"/>
                <w:sz w:val="18"/>
                <w:szCs w:val="18"/>
              </w:rPr>
              <w:t>+/</w:t>
            </w:r>
            <w:r w:rsidR="006072A1">
              <w:rPr>
                <w:rFonts w:eastAsiaTheme="minorEastAsia" w:hint="eastAsia"/>
                <w:sz w:val="18"/>
                <w:szCs w:val="18"/>
                <w:lang w:eastAsia="zh-CN"/>
              </w:rPr>
              <w:t>-</w:t>
            </w:r>
          </w:p>
        </w:tc>
        <w:tc>
          <w:tcPr>
            <w:tcW w:w="850" w:type="dxa"/>
            <w:shd w:val="clear" w:color="auto" w:fill="auto"/>
            <w:vAlign w:val="center"/>
          </w:tcPr>
          <w:p w:rsidR="00C968F8" w:rsidRPr="00C968F8" w:rsidRDefault="00C968F8" w:rsidP="001F0251">
            <w:pPr>
              <w:tabs>
                <w:tab w:val="decimal" w:pos="272"/>
              </w:tabs>
              <w:adjustRightInd w:val="0"/>
              <w:snapToGrid w:val="0"/>
              <w:ind w:firstLineChars="0" w:firstLine="0"/>
              <w:cnfStyle w:val="000000100000"/>
              <w:rPr>
                <w:rFonts w:eastAsia="MS PGothic"/>
                <w:sz w:val="18"/>
                <w:szCs w:val="18"/>
              </w:rPr>
            </w:pPr>
            <w:r w:rsidRPr="00C968F8">
              <w:rPr>
                <w:rFonts w:eastAsia="MS PGothic"/>
                <w:sz w:val="18"/>
                <w:szCs w:val="18"/>
              </w:rPr>
              <w:t>0.003</w:t>
            </w:r>
          </w:p>
        </w:tc>
        <w:tc>
          <w:tcPr>
            <w:cnfStyle w:val="000010000000"/>
            <w:tcW w:w="851" w:type="dxa"/>
            <w:shd w:val="clear" w:color="auto" w:fill="auto"/>
            <w:vAlign w:val="center"/>
          </w:tcPr>
          <w:p w:rsidR="00C968F8" w:rsidRPr="00C968F8" w:rsidRDefault="00C968F8" w:rsidP="001F0251">
            <w:pPr>
              <w:tabs>
                <w:tab w:val="decimal" w:pos="170"/>
              </w:tabs>
              <w:adjustRightInd w:val="0"/>
              <w:snapToGrid w:val="0"/>
              <w:ind w:firstLineChars="0" w:firstLine="0"/>
              <w:rPr>
                <w:rFonts w:eastAsiaTheme="minorEastAsia"/>
                <w:sz w:val="18"/>
                <w:szCs w:val="18"/>
              </w:rPr>
            </w:pPr>
            <w:r w:rsidRPr="00C968F8">
              <w:rPr>
                <w:rFonts w:eastAsiaTheme="minorEastAsia"/>
                <w:sz w:val="18"/>
                <w:szCs w:val="18"/>
              </w:rPr>
              <w:t>1.27</w:t>
            </w:r>
          </w:p>
        </w:tc>
        <w:tc>
          <w:tcPr>
            <w:tcW w:w="142" w:type="dxa"/>
            <w:shd w:val="clear" w:color="auto" w:fill="auto"/>
            <w:vAlign w:val="center"/>
          </w:tcPr>
          <w:p w:rsidR="00C968F8" w:rsidRPr="00D51C66" w:rsidRDefault="00C968F8" w:rsidP="001F0251">
            <w:pPr>
              <w:adjustRightInd w:val="0"/>
              <w:snapToGrid w:val="0"/>
              <w:ind w:firstLineChars="0" w:firstLine="0"/>
              <w:cnfStyle w:val="000000100000"/>
              <w:rPr>
                <w:rFonts w:eastAsia="MS PGothic"/>
                <w:sz w:val="18"/>
                <w:szCs w:val="18"/>
              </w:rPr>
            </w:pPr>
          </w:p>
        </w:tc>
        <w:tc>
          <w:tcPr>
            <w:cnfStyle w:val="000010000000"/>
            <w:tcW w:w="850" w:type="dxa"/>
            <w:shd w:val="clear" w:color="auto" w:fill="auto"/>
            <w:vAlign w:val="center"/>
          </w:tcPr>
          <w:p w:rsidR="00C968F8" w:rsidRPr="00F429CB" w:rsidRDefault="00C968F8" w:rsidP="001F0251">
            <w:pPr>
              <w:tabs>
                <w:tab w:val="decimal" w:pos="272"/>
              </w:tabs>
              <w:adjustRightInd w:val="0"/>
              <w:snapToGrid w:val="0"/>
              <w:ind w:firstLineChars="0" w:firstLine="0"/>
              <w:rPr>
                <w:rFonts w:eastAsia="MS PGothic"/>
                <w:sz w:val="18"/>
                <w:szCs w:val="18"/>
              </w:rPr>
            </w:pPr>
            <w:r w:rsidRPr="00F429CB">
              <w:rPr>
                <w:rFonts w:eastAsia="MS PGothic"/>
                <w:sz w:val="18"/>
                <w:szCs w:val="18"/>
              </w:rPr>
              <w:t>0.003</w:t>
            </w:r>
          </w:p>
        </w:tc>
        <w:tc>
          <w:tcPr>
            <w:tcW w:w="851" w:type="dxa"/>
            <w:shd w:val="clear" w:color="auto" w:fill="auto"/>
            <w:vAlign w:val="center"/>
          </w:tcPr>
          <w:p w:rsidR="00C968F8" w:rsidRPr="00C968F8" w:rsidRDefault="00C968F8" w:rsidP="001F0251">
            <w:pPr>
              <w:tabs>
                <w:tab w:val="decimal" w:pos="170"/>
              </w:tabs>
              <w:adjustRightInd w:val="0"/>
              <w:snapToGrid w:val="0"/>
              <w:ind w:firstLineChars="0" w:firstLine="0"/>
              <w:cnfStyle w:val="000000100000"/>
              <w:rPr>
                <w:rFonts w:eastAsiaTheme="minorEastAsia"/>
                <w:sz w:val="18"/>
                <w:szCs w:val="18"/>
              </w:rPr>
            </w:pPr>
            <w:r w:rsidRPr="00C968F8">
              <w:rPr>
                <w:rFonts w:eastAsiaTheme="minorEastAsia"/>
                <w:sz w:val="18"/>
                <w:szCs w:val="18"/>
              </w:rPr>
              <w:t>1.43</w:t>
            </w:r>
          </w:p>
        </w:tc>
        <w:tc>
          <w:tcPr>
            <w:cnfStyle w:val="000010000000"/>
            <w:tcW w:w="157" w:type="dxa"/>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p>
        </w:tc>
        <w:tc>
          <w:tcPr>
            <w:tcW w:w="843" w:type="dxa"/>
            <w:shd w:val="clear" w:color="auto" w:fill="auto"/>
            <w:vAlign w:val="center"/>
          </w:tcPr>
          <w:p w:rsidR="00C968F8" w:rsidRPr="00D51C66" w:rsidRDefault="00C968F8" w:rsidP="001F0251">
            <w:pPr>
              <w:tabs>
                <w:tab w:val="decimal" w:pos="272"/>
              </w:tabs>
              <w:adjustRightInd w:val="0"/>
              <w:snapToGrid w:val="0"/>
              <w:ind w:firstLineChars="0" w:firstLine="0"/>
              <w:cnfStyle w:val="000000100000"/>
              <w:rPr>
                <w:rFonts w:eastAsia="MS PGothic"/>
                <w:sz w:val="18"/>
                <w:szCs w:val="18"/>
              </w:rPr>
            </w:pPr>
            <w:r w:rsidRPr="00D51C66">
              <w:rPr>
                <w:rFonts w:eastAsia="MS PGothic"/>
                <w:sz w:val="18"/>
                <w:szCs w:val="18"/>
              </w:rPr>
              <w:t>0.003</w:t>
            </w:r>
          </w:p>
        </w:tc>
        <w:tc>
          <w:tcPr>
            <w:cnfStyle w:val="000010000000"/>
            <w:tcW w:w="843" w:type="dxa"/>
            <w:shd w:val="clear" w:color="auto" w:fill="auto"/>
            <w:vAlign w:val="center"/>
          </w:tcPr>
          <w:p w:rsidR="00C968F8" w:rsidRPr="00F429CB" w:rsidRDefault="00C968F8" w:rsidP="001F0251">
            <w:pPr>
              <w:tabs>
                <w:tab w:val="decimal" w:pos="170"/>
              </w:tabs>
              <w:adjustRightInd w:val="0"/>
              <w:snapToGrid w:val="0"/>
              <w:ind w:firstLineChars="0" w:firstLine="0"/>
              <w:rPr>
                <w:rFonts w:eastAsiaTheme="minorEastAsia"/>
                <w:sz w:val="18"/>
                <w:szCs w:val="18"/>
              </w:rPr>
            </w:pPr>
            <w:r w:rsidRPr="00F429CB">
              <w:rPr>
                <w:rFonts w:eastAsiaTheme="minorEastAsia"/>
                <w:sz w:val="18"/>
                <w:szCs w:val="18"/>
              </w:rPr>
              <w:t>1.07</w:t>
            </w:r>
          </w:p>
        </w:tc>
        <w:tc>
          <w:tcPr>
            <w:tcW w:w="160" w:type="dxa"/>
            <w:shd w:val="clear" w:color="auto" w:fill="auto"/>
            <w:vAlign w:val="center"/>
          </w:tcPr>
          <w:p w:rsidR="00C968F8" w:rsidRPr="00D51C66" w:rsidRDefault="00C968F8" w:rsidP="001F0251">
            <w:pPr>
              <w:adjustRightInd w:val="0"/>
              <w:snapToGrid w:val="0"/>
              <w:ind w:firstLineChars="0" w:firstLine="0"/>
              <w:cnfStyle w:val="000000100000"/>
              <w:rPr>
                <w:rFonts w:eastAsia="MS PGothic"/>
                <w:sz w:val="18"/>
                <w:szCs w:val="18"/>
              </w:rPr>
            </w:pPr>
          </w:p>
        </w:tc>
        <w:tc>
          <w:tcPr>
            <w:cnfStyle w:val="000010000000"/>
            <w:tcW w:w="798" w:type="dxa"/>
            <w:shd w:val="clear" w:color="auto" w:fill="auto"/>
            <w:vAlign w:val="center"/>
          </w:tcPr>
          <w:p w:rsidR="00C968F8" w:rsidRPr="00F429CB" w:rsidRDefault="00C968F8" w:rsidP="001F0251">
            <w:pPr>
              <w:tabs>
                <w:tab w:val="decimal" w:pos="244"/>
              </w:tabs>
              <w:adjustRightInd w:val="0"/>
              <w:snapToGrid w:val="0"/>
              <w:ind w:firstLineChars="0" w:firstLine="0"/>
              <w:rPr>
                <w:rFonts w:eastAsia="MS PGothic"/>
                <w:sz w:val="18"/>
                <w:szCs w:val="18"/>
              </w:rPr>
            </w:pPr>
            <w:r w:rsidRPr="00F429CB">
              <w:rPr>
                <w:rFonts w:eastAsia="MS PGothic"/>
                <w:sz w:val="18"/>
                <w:szCs w:val="18"/>
              </w:rPr>
              <w:t>0.003</w:t>
            </w:r>
          </w:p>
        </w:tc>
        <w:tc>
          <w:tcPr>
            <w:tcW w:w="799" w:type="dxa"/>
            <w:shd w:val="clear" w:color="auto" w:fill="auto"/>
            <w:vAlign w:val="center"/>
          </w:tcPr>
          <w:p w:rsidR="00C968F8" w:rsidRPr="00F429CB" w:rsidRDefault="00C968F8" w:rsidP="001F0251">
            <w:pPr>
              <w:tabs>
                <w:tab w:val="decimal" w:pos="170"/>
              </w:tabs>
              <w:adjustRightInd w:val="0"/>
              <w:snapToGrid w:val="0"/>
              <w:ind w:firstLineChars="0" w:firstLine="0"/>
              <w:cnfStyle w:val="000000100000"/>
              <w:rPr>
                <w:rFonts w:eastAsiaTheme="minorEastAsia"/>
                <w:sz w:val="18"/>
                <w:szCs w:val="18"/>
              </w:rPr>
            </w:pPr>
            <w:r w:rsidRPr="00F429CB">
              <w:rPr>
                <w:rFonts w:eastAsiaTheme="minorEastAsia"/>
                <w:sz w:val="18"/>
                <w:szCs w:val="18"/>
              </w:rPr>
              <w:t>1.01</w:t>
            </w:r>
          </w:p>
        </w:tc>
      </w:tr>
      <w:tr w:rsidR="00C968F8" w:rsidRPr="00D51C66" w:rsidTr="00C968F8">
        <w:trPr>
          <w:trHeight w:val="255"/>
          <w:jc w:val="center"/>
        </w:trPr>
        <w:tc>
          <w:tcPr>
            <w:cnfStyle w:val="001000000000"/>
            <w:tcW w:w="1276" w:type="dxa"/>
            <w:shd w:val="clear" w:color="auto" w:fill="auto"/>
            <w:vAlign w:val="center"/>
          </w:tcPr>
          <w:p w:rsidR="00C968F8" w:rsidRPr="00D51C66" w:rsidRDefault="00C968F8" w:rsidP="001F0251">
            <w:pPr>
              <w:adjustRightInd w:val="0"/>
              <w:snapToGrid w:val="0"/>
              <w:ind w:firstLineChars="0" w:firstLine="0"/>
              <w:rPr>
                <w:rFonts w:eastAsia="MS PGothic"/>
                <w:b w:val="0"/>
                <w:sz w:val="18"/>
                <w:szCs w:val="18"/>
              </w:rPr>
            </w:pPr>
            <w:r w:rsidRPr="00C968F8">
              <w:rPr>
                <w:rFonts w:eastAsia="MS PGothic"/>
                <w:b w:val="0"/>
                <w:i/>
                <w:sz w:val="18"/>
                <w:szCs w:val="18"/>
              </w:rPr>
              <w:t>Loss</w:t>
            </w:r>
            <w:r w:rsidRPr="00D51C66">
              <w:rPr>
                <w:rFonts w:eastAsia="MS PGothic"/>
                <w:b w:val="0"/>
                <w:sz w:val="18"/>
                <w:szCs w:val="18"/>
              </w:rPr>
              <w:t>_</w:t>
            </w:r>
            <w:r w:rsidRPr="00C968F8">
              <w:rPr>
                <w:rFonts w:eastAsia="MS PGothic"/>
                <w:b w:val="0"/>
                <w:i/>
                <w:sz w:val="18"/>
                <w:szCs w:val="18"/>
              </w:rPr>
              <w:t>dummy</w:t>
            </w:r>
          </w:p>
        </w:tc>
        <w:tc>
          <w:tcPr>
            <w:cnfStyle w:val="000010000000"/>
            <w:tcW w:w="992" w:type="dxa"/>
            <w:shd w:val="clear" w:color="auto" w:fill="auto"/>
            <w:vAlign w:val="center"/>
          </w:tcPr>
          <w:p w:rsidR="00C968F8" w:rsidRPr="00F429CB" w:rsidRDefault="006072A1" w:rsidP="001F0251">
            <w:pPr>
              <w:adjustRightInd w:val="0"/>
              <w:snapToGrid w:val="0"/>
              <w:ind w:firstLineChars="0" w:firstLine="0"/>
              <w:rPr>
                <w:rFonts w:eastAsiaTheme="minorEastAsia"/>
                <w:sz w:val="18"/>
                <w:szCs w:val="18"/>
                <w:lang w:eastAsia="zh-CN"/>
              </w:rPr>
            </w:pPr>
            <w:r>
              <w:rPr>
                <w:rFonts w:eastAsiaTheme="minorEastAsia" w:hint="eastAsia"/>
                <w:sz w:val="18"/>
                <w:szCs w:val="18"/>
                <w:lang w:eastAsia="zh-CN"/>
              </w:rPr>
              <w:t>-</w:t>
            </w:r>
          </w:p>
        </w:tc>
        <w:tc>
          <w:tcPr>
            <w:tcW w:w="850" w:type="dxa"/>
            <w:shd w:val="clear" w:color="auto" w:fill="auto"/>
            <w:vAlign w:val="center"/>
          </w:tcPr>
          <w:p w:rsidR="00C968F8" w:rsidRPr="00C968F8" w:rsidRDefault="00C968F8" w:rsidP="001F0251">
            <w:pPr>
              <w:tabs>
                <w:tab w:val="decimal" w:pos="272"/>
              </w:tabs>
              <w:adjustRightInd w:val="0"/>
              <w:snapToGrid w:val="0"/>
              <w:ind w:firstLineChars="0" w:firstLine="0"/>
              <w:cnfStyle w:val="000000000000"/>
              <w:rPr>
                <w:rFonts w:eastAsia="MS PGothic"/>
                <w:sz w:val="18"/>
                <w:szCs w:val="18"/>
              </w:rPr>
            </w:pPr>
            <w:r w:rsidRPr="00C968F8">
              <w:rPr>
                <w:rFonts w:eastAsia="MS PGothic"/>
                <w:sz w:val="18"/>
                <w:szCs w:val="18"/>
              </w:rPr>
              <w:t>-0.949</w:t>
            </w:r>
          </w:p>
        </w:tc>
        <w:tc>
          <w:tcPr>
            <w:cnfStyle w:val="000010000000"/>
            <w:tcW w:w="851" w:type="dxa"/>
            <w:shd w:val="clear" w:color="auto" w:fill="auto"/>
            <w:vAlign w:val="center"/>
          </w:tcPr>
          <w:p w:rsidR="00C968F8" w:rsidRPr="00C968F8" w:rsidRDefault="00C968F8" w:rsidP="001F0251">
            <w:pPr>
              <w:tabs>
                <w:tab w:val="decimal" w:pos="170"/>
              </w:tabs>
              <w:adjustRightInd w:val="0"/>
              <w:snapToGrid w:val="0"/>
              <w:ind w:firstLineChars="0" w:firstLine="0"/>
              <w:rPr>
                <w:rFonts w:eastAsiaTheme="minorEastAsia"/>
                <w:sz w:val="18"/>
                <w:szCs w:val="18"/>
              </w:rPr>
            </w:pPr>
            <w:r w:rsidRPr="00C968F8">
              <w:rPr>
                <w:rFonts w:eastAsiaTheme="minorEastAsia"/>
                <w:sz w:val="18"/>
                <w:szCs w:val="18"/>
              </w:rPr>
              <w:t>-0.63</w:t>
            </w:r>
          </w:p>
        </w:tc>
        <w:tc>
          <w:tcPr>
            <w:tcW w:w="142" w:type="dxa"/>
            <w:tcBorders>
              <w:left w:val="nil"/>
            </w:tcBorders>
            <w:shd w:val="clear" w:color="auto" w:fill="auto"/>
            <w:vAlign w:val="center"/>
          </w:tcPr>
          <w:p w:rsidR="00C968F8" w:rsidRPr="00D51C66" w:rsidRDefault="00C968F8" w:rsidP="001F0251">
            <w:pPr>
              <w:adjustRightInd w:val="0"/>
              <w:snapToGrid w:val="0"/>
              <w:ind w:firstLineChars="0" w:firstLine="0"/>
              <w:cnfStyle w:val="000000000000"/>
              <w:rPr>
                <w:rFonts w:eastAsia="MS PGothic"/>
                <w:sz w:val="18"/>
                <w:szCs w:val="18"/>
              </w:rPr>
            </w:pPr>
          </w:p>
        </w:tc>
        <w:tc>
          <w:tcPr>
            <w:cnfStyle w:val="000010000000"/>
            <w:tcW w:w="850" w:type="dxa"/>
            <w:shd w:val="clear" w:color="auto" w:fill="auto"/>
            <w:vAlign w:val="center"/>
          </w:tcPr>
          <w:p w:rsidR="00C968F8" w:rsidRPr="00F429CB" w:rsidRDefault="00C968F8" w:rsidP="001F0251">
            <w:pPr>
              <w:tabs>
                <w:tab w:val="decimal" w:pos="272"/>
              </w:tabs>
              <w:adjustRightInd w:val="0"/>
              <w:snapToGrid w:val="0"/>
              <w:ind w:firstLineChars="0" w:firstLine="0"/>
              <w:rPr>
                <w:rFonts w:eastAsia="MS PGothic"/>
                <w:sz w:val="18"/>
                <w:szCs w:val="18"/>
              </w:rPr>
            </w:pPr>
            <w:r w:rsidRPr="00F429CB">
              <w:rPr>
                <w:rFonts w:eastAsia="MS PGothic"/>
                <w:sz w:val="18"/>
                <w:szCs w:val="18"/>
              </w:rPr>
              <w:t>-0.959</w:t>
            </w:r>
          </w:p>
        </w:tc>
        <w:tc>
          <w:tcPr>
            <w:tcW w:w="851" w:type="dxa"/>
            <w:tcBorders>
              <w:right w:val="nil"/>
            </w:tcBorders>
            <w:shd w:val="clear" w:color="auto" w:fill="auto"/>
            <w:vAlign w:val="center"/>
          </w:tcPr>
          <w:p w:rsidR="00C968F8" w:rsidRPr="00C968F8" w:rsidRDefault="00C968F8" w:rsidP="001F0251">
            <w:pPr>
              <w:tabs>
                <w:tab w:val="decimal" w:pos="170"/>
              </w:tabs>
              <w:adjustRightInd w:val="0"/>
              <w:snapToGrid w:val="0"/>
              <w:ind w:firstLineChars="0" w:firstLine="0"/>
              <w:cnfStyle w:val="000000000000"/>
              <w:rPr>
                <w:rFonts w:eastAsiaTheme="minorEastAsia"/>
                <w:sz w:val="18"/>
                <w:szCs w:val="18"/>
              </w:rPr>
            </w:pPr>
            <w:r w:rsidRPr="00C968F8">
              <w:rPr>
                <w:rFonts w:eastAsiaTheme="minorEastAsia"/>
                <w:sz w:val="18"/>
                <w:szCs w:val="18"/>
              </w:rPr>
              <w:t>-0.59</w:t>
            </w:r>
          </w:p>
        </w:tc>
        <w:tc>
          <w:tcPr>
            <w:cnfStyle w:val="000010000000"/>
            <w:tcW w:w="157" w:type="dxa"/>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p>
        </w:tc>
        <w:tc>
          <w:tcPr>
            <w:tcW w:w="843" w:type="dxa"/>
            <w:shd w:val="clear" w:color="auto" w:fill="auto"/>
            <w:vAlign w:val="center"/>
          </w:tcPr>
          <w:p w:rsidR="00C968F8" w:rsidRPr="00D51C66" w:rsidRDefault="00C968F8" w:rsidP="001F0251">
            <w:pPr>
              <w:tabs>
                <w:tab w:val="decimal" w:pos="272"/>
              </w:tabs>
              <w:adjustRightInd w:val="0"/>
              <w:snapToGrid w:val="0"/>
              <w:ind w:firstLineChars="0" w:firstLine="0"/>
              <w:cnfStyle w:val="000000000000"/>
              <w:rPr>
                <w:rFonts w:eastAsia="MS PGothic"/>
                <w:sz w:val="18"/>
                <w:szCs w:val="18"/>
              </w:rPr>
            </w:pPr>
            <w:r w:rsidRPr="00D51C66">
              <w:rPr>
                <w:rFonts w:eastAsia="MS PGothic"/>
                <w:sz w:val="18"/>
                <w:szCs w:val="18"/>
              </w:rPr>
              <w:t>-0.560</w:t>
            </w:r>
          </w:p>
        </w:tc>
        <w:tc>
          <w:tcPr>
            <w:cnfStyle w:val="000010000000"/>
            <w:tcW w:w="843" w:type="dxa"/>
            <w:shd w:val="clear" w:color="auto" w:fill="auto"/>
            <w:vAlign w:val="center"/>
          </w:tcPr>
          <w:p w:rsidR="00C968F8" w:rsidRPr="00F429CB" w:rsidRDefault="00C968F8" w:rsidP="001F0251">
            <w:pPr>
              <w:tabs>
                <w:tab w:val="decimal" w:pos="170"/>
              </w:tabs>
              <w:adjustRightInd w:val="0"/>
              <w:snapToGrid w:val="0"/>
              <w:ind w:firstLineChars="0" w:firstLine="0"/>
              <w:rPr>
                <w:rFonts w:eastAsiaTheme="minorEastAsia"/>
                <w:sz w:val="18"/>
                <w:szCs w:val="18"/>
              </w:rPr>
            </w:pPr>
            <w:r w:rsidRPr="00F429CB">
              <w:rPr>
                <w:rFonts w:eastAsiaTheme="minorEastAsia"/>
                <w:sz w:val="18"/>
                <w:szCs w:val="18"/>
              </w:rPr>
              <w:t>-0.37</w:t>
            </w:r>
          </w:p>
        </w:tc>
        <w:tc>
          <w:tcPr>
            <w:tcW w:w="160" w:type="dxa"/>
            <w:tcBorders>
              <w:left w:val="nil"/>
            </w:tcBorders>
            <w:shd w:val="clear" w:color="auto" w:fill="auto"/>
            <w:vAlign w:val="center"/>
          </w:tcPr>
          <w:p w:rsidR="00C968F8" w:rsidRPr="00D51C66" w:rsidRDefault="00C968F8" w:rsidP="001F0251">
            <w:pPr>
              <w:adjustRightInd w:val="0"/>
              <w:snapToGrid w:val="0"/>
              <w:ind w:firstLineChars="0" w:firstLine="0"/>
              <w:cnfStyle w:val="000000000000"/>
              <w:rPr>
                <w:rFonts w:eastAsia="MS PGothic"/>
                <w:sz w:val="18"/>
                <w:szCs w:val="18"/>
              </w:rPr>
            </w:pPr>
          </w:p>
        </w:tc>
        <w:tc>
          <w:tcPr>
            <w:cnfStyle w:val="000010000000"/>
            <w:tcW w:w="798" w:type="dxa"/>
            <w:shd w:val="clear" w:color="auto" w:fill="auto"/>
            <w:vAlign w:val="center"/>
          </w:tcPr>
          <w:p w:rsidR="00C968F8" w:rsidRPr="00F429CB" w:rsidRDefault="00C968F8" w:rsidP="001F0251">
            <w:pPr>
              <w:tabs>
                <w:tab w:val="decimal" w:pos="244"/>
              </w:tabs>
              <w:adjustRightInd w:val="0"/>
              <w:snapToGrid w:val="0"/>
              <w:ind w:firstLineChars="0" w:firstLine="0"/>
              <w:rPr>
                <w:rFonts w:eastAsia="MS PGothic"/>
                <w:sz w:val="18"/>
                <w:szCs w:val="18"/>
              </w:rPr>
            </w:pPr>
            <w:r w:rsidRPr="00F429CB">
              <w:rPr>
                <w:rFonts w:eastAsia="MS PGothic"/>
                <w:sz w:val="18"/>
                <w:szCs w:val="18"/>
              </w:rPr>
              <w:t>-0.653</w:t>
            </w:r>
          </w:p>
        </w:tc>
        <w:tc>
          <w:tcPr>
            <w:tcW w:w="799" w:type="dxa"/>
            <w:shd w:val="clear" w:color="auto" w:fill="auto"/>
            <w:vAlign w:val="center"/>
          </w:tcPr>
          <w:p w:rsidR="00C968F8" w:rsidRPr="00F429CB" w:rsidRDefault="00C968F8" w:rsidP="001F0251">
            <w:pPr>
              <w:tabs>
                <w:tab w:val="decimal" w:pos="170"/>
              </w:tabs>
              <w:adjustRightInd w:val="0"/>
              <w:snapToGrid w:val="0"/>
              <w:ind w:firstLineChars="0" w:firstLine="0"/>
              <w:cnfStyle w:val="000000000000"/>
              <w:rPr>
                <w:rFonts w:eastAsiaTheme="minorEastAsia"/>
                <w:sz w:val="18"/>
                <w:szCs w:val="18"/>
              </w:rPr>
            </w:pPr>
            <w:r w:rsidRPr="00F429CB">
              <w:rPr>
                <w:rFonts w:eastAsiaTheme="minorEastAsia"/>
                <w:sz w:val="18"/>
                <w:szCs w:val="18"/>
              </w:rPr>
              <w:t>-0.44</w:t>
            </w:r>
          </w:p>
        </w:tc>
      </w:tr>
      <w:tr w:rsidR="00C968F8" w:rsidRPr="00D51C66" w:rsidTr="00C968F8">
        <w:trPr>
          <w:cnfStyle w:val="000000100000"/>
          <w:trHeight w:val="255"/>
          <w:jc w:val="center"/>
        </w:trPr>
        <w:tc>
          <w:tcPr>
            <w:cnfStyle w:val="001000000000"/>
            <w:tcW w:w="1276" w:type="dxa"/>
            <w:shd w:val="clear" w:color="auto" w:fill="auto"/>
            <w:vAlign w:val="center"/>
          </w:tcPr>
          <w:p w:rsidR="00C968F8" w:rsidRPr="00C968F8" w:rsidRDefault="00C968F8" w:rsidP="001F0251">
            <w:pPr>
              <w:adjustRightInd w:val="0"/>
              <w:snapToGrid w:val="0"/>
              <w:ind w:firstLineChars="0" w:firstLine="0"/>
              <w:rPr>
                <w:rFonts w:eastAsia="MS PGothic"/>
                <w:b w:val="0"/>
                <w:i/>
                <w:sz w:val="18"/>
                <w:szCs w:val="18"/>
              </w:rPr>
            </w:pPr>
            <w:r w:rsidRPr="00C968F8">
              <w:rPr>
                <w:rFonts w:eastAsia="MS PGothic"/>
                <w:b w:val="0"/>
                <w:i/>
                <w:sz w:val="18"/>
                <w:szCs w:val="18"/>
              </w:rPr>
              <w:t>ETR</w:t>
            </w:r>
          </w:p>
        </w:tc>
        <w:tc>
          <w:tcPr>
            <w:cnfStyle w:val="000010000000"/>
            <w:tcW w:w="992" w:type="dxa"/>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r w:rsidRPr="00D51C66">
              <w:rPr>
                <w:rFonts w:eastAsia="MS PGothic"/>
                <w:sz w:val="18"/>
                <w:szCs w:val="18"/>
              </w:rPr>
              <w:t>+</w:t>
            </w:r>
          </w:p>
        </w:tc>
        <w:tc>
          <w:tcPr>
            <w:tcW w:w="850" w:type="dxa"/>
            <w:shd w:val="clear" w:color="auto" w:fill="auto"/>
            <w:vAlign w:val="center"/>
          </w:tcPr>
          <w:p w:rsidR="00C968F8" w:rsidRPr="00C968F8" w:rsidRDefault="00C968F8" w:rsidP="001F0251">
            <w:pPr>
              <w:tabs>
                <w:tab w:val="decimal" w:pos="272"/>
              </w:tabs>
              <w:adjustRightInd w:val="0"/>
              <w:snapToGrid w:val="0"/>
              <w:ind w:firstLineChars="0" w:firstLine="0"/>
              <w:cnfStyle w:val="000000100000"/>
              <w:rPr>
                <w:rFonts w:eastAsia="MS PGothic"/>
                <w:sz w:val="18"/>
                <w:szCs w:val="18"/>
              </w:rPr>
            </w:pPr>
            <w:r w:rsidRPr="00C968F8">
              <w:rPr>
                <w:rFonts w:eastAsia="MS PGothic"/>
                <w:sz w:val="18"/>
                <w:szCs w:val="18"/>
              </w:rPr>
              <w:t>5.697</w:t>
            </w:r>
          </w:p>
        </w:tc>
        <w:tc>
          <w:tcPr>
            <w:cnfStyle w:val="000010000000"/>
            <w:tcW w:w="851" w:type="dxa"/>
            <w:shd w:val="clear" w:color="auto" w:fill="auto"/>
            <w:vAlign w:val="center"/>
          </w:tcPr>
          <w:p w:rsidR="00C968F8" w:rsidRPr="00C968F8" w:rsidRDefault="00C968F8" w:rsidP="001F0251">
            <w:pPr>
              <w:tabs>
                <w:tab w:val="decimal" w:pos="170"/>
              </w:tabs>
              <w:adjustRightInd w:val="0"/>
              <w:snapToGrid w:val="0"/>
              <w:ind w:firstLineChars="0" w:firstLine="0"/>
              <w:rPr>
                <w:rFonts w:eastAsiaTheme="minorEastAsia"/>
                <w:sz w:val="18"/>
                <w:szCs w:val="18"/>
              </w:rPr>
            </w:pPr>
            <w:r w:rsidRPr="00C968F8">
              <w:rPr>
                <w:rFonts w:eastAsiaTheme="minorEastAsia"/>
                <w:sz w:val="18"/>
                <w:szCs w:val="18"/>
              </w:rPr>
              <w:t>1.72</w:t>
            </w:r>
            <w:r w:rsidRPr="00F429CB">
              <w:rPr>
                <w:rFonts w:eastAsiaTheme="minorEastAsia"/>
                <w:sz w:val="18"/>
                <w:szCs w:val="18"/>
                <w:vertAlign w:val="superscript"/>
              </w:rPr>
              <w:t>*</w:t>
            </w:r>
          </w:p>
        </w:tc>
        <w:tc>
          <w:tcPr>
            <w:tcW w:w="142" w:type="dxa"/>
            <w:shd w:val="clear" w:color="auto" w:fill="auto"/>
            <w:vAlign w:val="center"/>
          </w:tcPr>
          <w:p w:rsidR="00C968F8" w:rsidRPr="00D51C66" w:rsidRDefault="00C968F8" w:rsidP="001F0251">
            <w:pPr>
              <w:adjustRightInd w:val="0"/>
              <w:snapToGrid w:val="0"/>
              <w:ind w:firstLineChars="0" w:firstLine="0"/>
              <w:cnfStyle w:val="000000100000"/>
              <w:rPr>
                <w:rFonts w:eastAsia="MS PGothic"/>
                <w:sz w:val="18"/>
                <w:szCs w:val="18"/>
              </w:rPr>
            </w:pPr>
          </w:p>
        </w:tc>
        <w:tc>
          <w:tcPr>
            <w:cnfStyle w:val="000010000000"/>
            <w:tcW w:w="850" w:type="dxa"/>
            <w:shd w:val="clear" w:color="auto" w:fill="auto"/>
            <w:vAlign w:val="center"/>
          </w:tcPr>
          <w:p w:rsidR="00C968F8" w:rsidRPr="00F429CB" w:rsidRDefault="00C968F8" w:rsidP="001F0251">
            <w:pPr>
              <w:tabs>
                <w:tab w:val="decimal" w:pos="272"/>
              </w:tabs>
              <w:adjustRightInd w:val="0"/>
              <w:snapToGrid w:val="0"/>
              <w:ind w:firstLineChars="0" w:firstLine="0"/>
              <w:rPr>
                <w:rFonts w:eastAsia="MS PGothic"/>
                <w:sz w:val="18"/>
                <w:szCs w:val="18"/>
              </w:rPr>
            </w:pPr>
            <w:r w:rsidRPr="00F429CB">
              <w:rPr>
                <w:rFonts w:eastAsia="MS PGothic"/>
                <w:sz w:val="18"/>
                <w:szCs w:val="18"/>
              </w:rPr>
              <w:t>6.074</w:t>
            </w:r>
          </w:p>
        </w:tc>
        <w:tc>
          <w:tcPr>
            <w:tcW w:w="851" w:type="dxa"/>
            <w:shd w:val="clear" w:color="auto" w:fill="auto"/>
            <w:vAlign w:val="center"/>
          </w:tcPr>
          <w:p w:rsidR="00C968F8" w:rsidRPr="00C968F8" w:rsidRDefault="00C968F8" w:rsidP="001F0251">
            <w:pPr>
              <w:tabs>
                <w:tab w:val="decimal" w:pos="170"/>
              </w:tabs>
              <w:adjustRightInd w:val="0"/>
              <w:snapToGrid w:val="0"/>
              <w:ind w:firstLineChars="0" w:firstLine="0"/>
              <w:cnfStyle w:val="000000100000"/>
              <w:rPr>
                <w:rFonts w:eastAsiaTheme="minorEastAsia"/>
                <w:sz w:val="18"/>
                <w:szCs w:val="18"/>
              </w:rPr>
            </w:pPr>
            <w:r w:rsidRPr="00C968F8">
              <w:rPr>
                <w:rFonts w:eastAsiaTheme="minorEastAsia"/>
                <w:sz w:val="18"/>
                <w:szCs w:val="18"/>
              </w:rPr>
              <w:t>1.7</w:t>
            </w:r>
            <w:r w:rsidR="00FD3DF3">
              <w:rPr>
                <w:rFonts w:eastAsiaTheme="minorEastAsia" w:hint="eastAsia"/>
                <w:sz w:val="18"/>
                <w:szCs w:val="18"/>
                <w:lang w:eastAsia="zh-CN"/>
              </w:rPr>
              <w:t>0</w:t>
            </w:r>
            <w:r w:rsidRPr="00F429CB">
              <w:rPr>
                <w:rFonts w:eastAsiaTheme="minorEastAsia"/>
                <w:sz w:val="18"/>
                <w:szCs w:val="18"/>
                <w:vertAlign w:val="superscript"/>
              </w:rPr>
              <w:t>*</w:t>
            </w:r>
          </w:p>
        </w:tc>
        <w:tc>
          <w:tcPr>
            <w:cnfStyle w:val="000010000000"/>
            <w:tcW w:w="157" w:type="dxa"/>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p>
        </w:tc>
        <w:tc>
          <w:tcPr>
            <w:tcW w:w="843" w:type="dxa"/>
            <w:shd w:val="clear" w:color="auto" w:fill="auto"/>
            <w:vAlign w:val="center"/>
          </w:tcPr>
          <w:p w:rsidR="00C968F8" w:rsidRPr="00D51C66" w:rsidRDefault="00C968F8" w:rsidP="001F0251">
            <w:pPr>
              <w:tabs>
                <w:tab w:val="decimal" w:pos="272"/>
              </w:tabs>
              <w:adjustRightInd w:val="0"/>
              <w:snapToGrid w:val="0"/>
              <w:ind w:firstLineChars="0" w:firstLine="0"/>
              <w:cnfStyle w:val="000000100000"/>
              <w:rPr>
                <w:rFonts w:eastAsia="MS PGothic"/>
                <w:sz w:val="18"/>
                <w:szCs w:val="18"/>
              </w:rPr>
            </w:pPr>
            <w:r w:rsidRPr="00D51C66">
              <w:rPr>
                <w:rFonts w:eastAsia="MS PGothic"/>
                <w:sz w:val="18"/>
                <w:szCs w:val="18"/>
              </w:rPr>
              <w:t>7.468</w:t>
            </w:r>
          </w:p>
        </w:tc>
        <w:tc>
          <w:tcPr>
            <w:cnfStyle w:val="000010000000"/>
            <w:tcW w:w="843" w:type="dxa"/>
            <w:shd w:val="clear" w:color="auto" w:fill="auto"/>
            <w:vAlign w:val="center"/>
          </w:tcPr>
          <w:p w:rsidR="00C968F8" w:rsidRPr="00F429CB" w:rsidRDefault="00C968F8" w:rsidP="001F0251">
            <w:pPr>
              <w:tabs>
                <w:tab w:val="decimal" w:pos="170"/>
              </w:tabs>
              <w:adjustRightInd w:val="0"/>
              <w:snapToGrid w:val="0"/>
              <w:ind w:firstLineChars="0" w:firstLine="0"/>
              <w:rPr>
                <w:rFonts w:eastAsiaTheme="minorEastAsia"/>
                <w:sz w:val="18"/>
                <w:szCs w:val="18"/>
              </w:rPr>
            </w:pPr>
            <w:r w:rsidRPr="00F429CB">
              <w:rPr>
                <w:rFonts w:eastAsiaTheme="minorEastAsia"/>
                <w:sz w:val="18"/>
                <w:szCs w:val="18"/>
              </w:rPr>
              <w:t>2.11</w:t>
            </w:r>
            <w:r w:rsidRPr="00F429CB">
              <w:rPr>
                <w:rFonts w:eastAsiaTheme="minorEastAsia"/>
                <w:sz w:val="18"/>
                <w:szCs w:val="18"/>
                <w:vertAlign w:val="superscript"/>
              </w:rPr>
              <w:t>**</w:t>
            </w:r>
          </w:p>
        </w:tc>
        <w:tc>
          <w:tcPr>
            <w:tcW w:w="160" w:type="dxa"/>
            <w:shd w:val="clear" w:color="auto" w:fill="auto"/>
            <w:vAlign w:val="center"/>
          </w:tcPr>
          <w:p w:rsidR="00C968F8" w:rsidRPr="00D51C66" w:rsidRDefault="00C968F8" w:rsidP="001F0251">
            <w:pPr>
              <w:adjustRightInd w:val="0"/>
              <w:snapToGrid w:val="0"/>
              <w:ind w:firstLineChars="0" w:firstLine="0"/>
              <w:cnfStyle w:val="000000100000"/>
              <w:rPr>
                <w:rFonts w:eastAsia="MS PGothic"/>
                <w:sz w:val="18"/>
                <w:szCs w:val="18"/>
              </w:rPr>
            </w:pPr>
          </w:p>
        </w:tc>
        <w:tc>
          <w:tcPr>
            <w:cnfStyle w:val="000010000000"/>
            <w:tcW w:w="798" w:type="dxa"/>
            <w:shd w:val="clear" w:color="auto" w:fill="auto"/>
            <w:vAlign w:val="center"/>
          </w:tcPr>
          <w:p w:rsidR="00C968F8" w:rsidRPr="00F429CB" w:rsidRDefault="00C968F8" w:rsidP="001F0251">
            <w:pPr>
              <w:tabs>
                <w:tab w:val="decimal" w:pos="244"/>
              </w:tabs>
              <w:adjustRightInd w:val="0"/>
              <w:snapToGrid w:val="0"/>
              <w:ind w:firstLineChars="0" w:firstLine="0"/>
              <w:rPr>
                <w:rFonts w:eastAsia="MS PGothic"/>
                <w:sz w:val="18"/>
                <w:szCs w:val="18"/>
              </w:rPr>
            </w:pPr>
            <w:r w:rsidRPr="00F429CB">
              <w:rPr>
                <w:rFonts w:eastAsia="MS PGothic"/>
                <w:sz w:val="18"/>
                <w:szCs w:val="18"/>
              </w:rPr>
              <w:t>7.755</w:t>
            </w:r>
          </w:p>
        </w:tc>
        <w:tc>
          <w:tcPr>
            <w:tcW w:w="799" w:type="dxa"/>
            <w:shd w:val="clear" w:color="auto" w:fill="auto"/>
            <w:vAlign w:val="center"/>
          </w:tcPr>
          <w:p w:rsidR="00C968F8" w:rsidRPr="00F429CB" w:rsidRDefault="00C968F8" w:rsidP="001F0251">
            <w:pPr>
              <w:tabs>
                <w:tab w:val="decimal" w:pos="170"/>
              </w:tabs>
              <w:adjustRightInd w:val="0"/>
              <w:snapToGrid w:val="0"/>
              <w:ind w:firstLineChars="0" w:firstLine="0"/>
              <w:cnfStyle w:val="000000100000"/>
              <w:rPr>
                <w:rFonts w:eastAsiaTheme="minorEastAsia"/>
                <w:sz w:val="18"/>
                <w:szCs w:val="18"/>
              </w:rPr>
            </w:pPr>
            <w:r w:rsidRPr="00F429CB">
              <w:rPr>
                <w:rFonts w:eastAsiaTheme="minorEastAsia"/>
                <w:sz w:val="18"/>
                <w:szCs w:val="18"/>
              </w:rPr>
              <w:t>2.13</w:t>
            </w:r>
            <w:r w:rsidRPr="00F429CB">
              <w:rPr>
                <w:rFonts w:eastAsiaTheme="minorEastAsia"/>
                <w:sz w:val="18"/>
                <w:szCs w:val="18"/>
                <w:vertAlign w:val="superscript"/>
              </w:rPr>
              <w:t>**</w:t>
            </w:r>
          </w:p>
        </w:tc>
      </w:tr>
      <w:tr w:rsidR="00C968F8" w:rsidRPr="00D51C66" w:rsidTr="00C968F8">
        <w:trPr>
          <w:trHeight w:val="255"/>
          <w:jc w:val="center"/>
        </w:trPr>
        <w:tc>
          <w:tcPr>
            <w:cnfStyle w:val="001000000000"/>
            <w:tcW w:w="1276" w:type="dxa"/>
            <w:shd w:val="clear" w:color="auto" w:fill="auto"/>
            <w:vAlign w:val="center"/>
          </w:tcPr>
          <w:p w:rsidR="00C968F8" w:rsidRPr="00D51C66" w:rsidRDefault="00C968F8" w:rsidP="001F0251">
            <w:pPr>
              <w:adjustRightInd w:val="0"/>
              <w:snapToGrid w:val="0"/>
              <w:ind w:firstLineChars="0" w:firstLine="0"/>
              <w:rPr>
                <w:rFonts w:eastAsia="MS PGothic"/>
                <w:b w:val="0"/>
                <w:sz w:val="18"/>
                <w:szCs w:val="18"/>
              </w:rPr>
            </w:pPr>
            <w:r w:rsidRPr="00D51C66">
              <w:rPr>
                <w:rFonts w:eastAsia="MS PGothic"/>
                <w:b w:val="0"/>
                <w:sz w:val="18"/>
                <w:szCs w:val="18"/>
              </w:rPr>
              <w:t>Intercept</w:t>
            </w:r>
          </w:p>
        </w:tc>
        <w:tc>
          <w:tcPr>
            <w:cnfStyle w:val="000010000000"/>
            <w:tcW w:w="992" w:type="dxa"/>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r w:rsidRPr="00D51C66">
              <w:rPr>
                <w:rFonts w:eastAsia="MS PGothic"/>
                <w:sz w:val="18"/>
                <w:szCs w:val="18"/>
              </w:rPr>
              <w:t>?</w:t>
            </w:r>
          </w:p>
        </w:tc>
        <w:tc>
          <w:tcPr>
            <w:tcW w:w="850" w:type="dxa"/>
            <w:shd w:val="clear" w:color="auto" w:fill="auto"/>
            <w:vAlign w:val="center"/>
          </w:tcPr>
          <w:p w:rsidR="00C968F8" w:rsidRPr="00C968F8" w:rsidRDefault="00C968F8" w:rsidP="001F0251">
            <w:pPr>
              <w:tabs>
                <w:tab w:val="decimal" w:pos="272"/>
              </w:tabs>
              <w:adjustRightInd w:val="0"/>
              <w:snapToGrid w:val="0"/>
              <w:ind w:firstLineChars="0" w:firstLine="0"/>
              <w:cnfStyle w:val="000000000000"/>
              <w:rPr>
                <w:rFonts w:eastAsia="MS PGothic"/>
                <w:sz w:val="18"/>
                <w:szCs w:val="18"/>
              </w:rPr>
            </w:pPr>
            <w:r w:rsidRPr="00C968F8">
              <w:rPr>
                <w:rFonts w:eastAsia="MS PGothic"/>
                <w:sz w:val="18"/>
                <w:szCs w:val="18"/>
              </w:rPr>
              <w:t>-1.336</w:t>
            </w:r>
          </w:p>
        </w:tc>
        <w:tc>
          <w:tcPr>
            <w:cnfStyle w:val="000010000000"/>
            <w:tcW w:w="851" w:type="dxa"/>
            <w:shd w:val="clear" w:color="auto" w:fill="auto"/>
            <w:vAlign w:val="center"/>
          </w:tcPr>
          <w:p w:rsidR="00C968F8" w:rsidRPr="00C968F8" w:rsidRDefault="00C968F8" w:rsidP="001F0251">
            <w:pPr>
              <w:tabs>
                <w:tab w:val="decimal" w:pos="170"/>
              </w:tabs>
              <w:adjustRightInd w:val="0"/>
              <w:snapToGrid w:val="0"/>
              <w:ind w:firstLineChars="0" w:firstLine="0"/>
              <w:rPr>
                <w:rFonts w:eastAsiaTheme="minorEastAsia"/>
                <w:sz w:val="18"/>
                <w:szCs w:val="18"/>
              </w:rPr>
            </w:pPr>
            <w:r w:rsidRPr="00C968F8">
              <w:rPr>
                <w:rFonts w:eastAsiaTheme="minorEastAsia"/>
                <w:sz w:val="18"/>
                <w:szCs w:val="18"/>
              </w:rPr>
              <w:t>-0.44</w:t>
            </w:r>
          </w:p>
        </w:tc>
        <w:tc>
          <w:tcPr>
            <w:tcW w:w="142" w:type="dxa"/>
            <w:tcBorders>
              <w:left w:val="nil"/>
            </w:tcBorders>
            <w:shd w:val="clear" w:color="auto" w:fill="auto"/>
            <w:vAlign w:val="center"/>
          </w:tcPr>
          <w:p w:rsidR="00C968F8" w:rsidRPr="00D51C66" w:rsidRDefault="00C968F8" w:rsidP="001F0251">
            <w:pPr>
              <w:adjustRightInd w:val="0"/>
              <w:snapToGrid w:val="0"/>
              <w:ind w:firstLineChars="0" w:firstLine="0"/>
              <w:cnfStyle w:val="000000000000"/>
              <w:rPr>
                <w:rFonts w:eastAsia="MS PGothic"/>
                <w:sz w:val="18"/>
                <w:szCs w:val="18"/>
              </w:rPr>
            </w:pPr>
          </w:p>
        </w:tc>
        <w:tc>
          <w:tcPr>
            <w:cnfStyle w:val="000010000000"/>
            <w:tcW w:w="850" w:type="dxa"/>
            <w:shd w:val="clear" w:color="auto" w:fill="auto"/>
            <w:vAlign w:val="center"/>
          </w:tcPr>
          <w:p w:rsidR="00C968F8" w:rsidRPr="00F429CB" w:rsidRDefault="00C968F8" w:rsidP="001F0251">
            <w:pPr>
              <w:tabs>
                <w:tab w:val="decimal" w:pos="272"/>
              </w:tabs>
              <w:adjustRightInd w:val="0"/>
              <w:snapToGrid w:val="0"/>
              <w:ind w:firstLineChars="0" w:firstLine="0"/>
              <w:rPr>
                <w:rFonts w:eastAsia="MS PGothic"/>
                <w:sz w:val="18"/>
                <w:szCs w:val="18"/>
              </w:rPr>
            </w:pPr>
            <w:r w:rsidRPr="00F429CB">
              <w:rPr>
                <w:rFonts w:eastAsia="MS PGothic"/>
                <w:sz w:val="18"/>
                <w:szCs w:val="18"/>
              </w:rPr>
              <w:t>-3.253</w:t>
            </w:r>
          </w:p>
        </w:tc>
        <w:tc>
          <w:tcPr>
            <w:tcW w:w="851" w:type="dxa"/>
            <w:tcBorders>
              <w:right w:val="nil"/>
            </w:tcBorders>
            <w:shd w:val="clear" w:color="auto" w:fill="auto"/>
            <w:vAlign w:val="center"/>
          </w:tcPr>
          <w:p w:rsidR="00C968F8" w:rsidRPr="00C968F8" w:rsidRDefault="00C968F8" w:rsidP="001F0251">
            <w:pPr>
              <w:tabs>
                <w:tab w:val="decimal" w:pos="170"/>
              </w:tabs>
              <w:adjustRightInd w:val="0"/>
              <w:snapToGrid w:val="0"/>
              <w:ind w:firstLineChars="0" w:firstLine="0"/>
              <w:cnfStyle w:val="000000000000"/>
              <w:rPr>
                <w:rFonts w:eastAsiaTheme="minorEastAsia"/>
                <w:sz w:val="18"/>
                <w:szCs w:val="18"/>
              </w:rPr>
            </w:pPr>
            <w:r w:rsidRPr="00C968F8">
              <w:rPr>
                <w:rFonts w:eastAsiaTheme="minorEastAsia"/>
                <w:sz w:val="18"/>
                <w:szCs w:val="18"/>
              </w:rPr>
              <w:t>-1.31</w:t>
            </w:r>
          </w:p>
        </w:tc>
        <w:tc>
          <w:tcPr>
            <w:cnfStyle w:val="000010000000"/>
            <w:tcW w:w="157" w:type="dxa"/>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p>
        </w:tc>
        <w:tc>
          <w:tcPr>
            <w:tcW w:w="843" w:type="dxa"/>
            <w:shd w:val="clear" w:color="auto" w:fill="auto"/>
            <w:vAlign w:val="center"/>
          </w:tcPr>
          <w:p w:rsidR="00C968F8" w:rsidRPr="00D51C66" w:rsidRDefault="00C968F8" w:rsidP="001F0251">
            <w:pPr>
              <w:tabs>
                <w:tab w:val="decimal" w:pos="272"/>
              </w:tabs>
              <w:adjustRightInd w:val="0"/>
              <w:snapToGrid w:val="0"/>
              <w:ind w:firstLineChars="0" w:firstLine="0"/>
              <w:cnfStyle w:val="000000000000"/>
              <w:rPr>
                <w:rFonts w:eastAsia="MS PGothic"/>
                <w:sz w:val="18"/>
                <w:szCs w:val="18"/>
              </w:rPr>
            </w:pPr>
            <w:r w:rsidRPr="00D51C66">
              <w:rPr>
                <w:rFonts w:eastAsia="MS PGothic"/>
                <w:sz w:val="18"/>
                <w:szCs w:val="18"/>
              </w:rPr>
              <w:t>-1.268</w:t>
            </w:r>
          </w:p>
        </w:tc>
        <w:tc>
          <w:tcPr>
            <w:cnfStyle w:val="000010000000"/>
            <w:tcW w:w="843" w:type="dxa"/>
            <w:shd w:val="clear" w:color="auto" w:fill="auto"/>
            <w:vAlign w:val="center"/>
          </w:tcPr>
          <w:p w:rsidR="00C968F8" w:rsidRPr="00F429CB" w:rsidRDefault="00C968F8" w:rsidP="001F0251">
            <w:pPr>
              <w:tabs>
                <w:tab w:val="decimal" w:pos="170"/>
              </w:tabs>
              <w:adjustRightInd w:val="0"/>
              <w:snapToGrid w:val="0"/>
              <w:ind w:firstLineChars="0" w:firstLine="0"/>
              <w:rPr>
                <w:rFonts w:eastAsiaTheme="minorEastAsia"/>
                <w:sz w:val="18"/>
                <w:szCs w:val="18"/>
              </w:rPr>
            </w:pPr>
            <w:r w:rsidRPr="00F429CB">
              <w:rPr>
                <w:rFonts w:eastAsiaTheme="minorEastAsia"/>
                <w:sz w:val="18"/>
                <w:szCs w:val="18"/>
              </w:rPr>
              <w:t>-0.39</w:t>
            </w:r>
          </w:p>
        </w:tc>
        <w:tc>
          <w:tcPr>
            <w:tcW w:w="160" w:type="dxa"/>
            <w:tcBorders>
              <w:left w:val="nil"/>
            </w:tcBorders>
            <w:shd w:val="clear" w:color="auto" w:fill="auto"/>
            <w:vAlign w:val="center"/>
          </w:tcPr>
          <w:p w:rsidR="00C968F8" w:rsidRPr="00D51C66" w:rsidRDefault="00C968F8" w:rsidP="001F0251">
            <w:pPr>
              <w:adjustRightInd w:val="0"/>
              <w:snapToGrid w:val="0"/>
              <w:ind w:firstLineChars="0" w:firstLine="0"/>
              <w:cnfStyle w:val="000000000000"/>
              <w:rPr>
                <w:rFonts w:eastAsia="MS PGothic"/>
                <w:sz w:val="18"/>
                <w:szCs w:val="18"/>
              </w:rPr>
            </w:pPr>
          </w:p>
        </w:tc>
        <w:tc>
          <w:tcPr>
            <w:cnfStyle w:val="000010000000"/>
            <w:tcW w:w="798" w:type="dxa"/>
            <w:shd w:val="clear" w:color="auto" w:fill="auto"/>
            <w:vAlign w:val="center"/>
          </w:tcPr>
          <w:p w:rsidR="00C968F8" w:rsidRPr="00F429CB" w:rsidRDefault="00C968F8" w:rsidP="001F0251">
            <w:pPr>
              <w:tabs>
                <w:tab w:val="decimal" w:pos="244"/>
              </w:tabs>
              <w:adjustRightInd w:val="0"/>
              <w:snapToGrid w:val="0"/>
              <w:ind w:firstLineChars="0" w:firstLine="0"/>
              <w:rPr>
                <w:rFonts w:eastAsia="MS PGothic"/>
                <w:sz w:val="18"/>
                <w:szCs w:val="18"/>
              </w:rPr>
            </w:pPr>
            <w:r w:rsidRPr="00F429CB">
              <w:rPr>
                <w:rFonts w:eastAsia="MS PGothic"/>
                <w:sz w:val="18"/>
                <w:szCs w:val="18"/>
              </w:rPr>
              <w:t>-0.827</w:t>
            </w:r>
          </w:p>
        </w:tc>
        <w:tc>
          <w:tcPr>
            <w:tcW w:w="799" w:type="dxa"/>
            <w:shd w:val="clear" w:color="auto" w:fill="auto"/>
            <w:vAlign w:val="center"/>
          </w:tcPr>
          <w:p w:rsidR="00C968F8" w:rsidRPr="00F429CB" w:rsidRDefault="00C968F8" w:rsidP="001F0251">
            <w:pPr>
              <w:tabs>
                <w:tab w:val="decimal" w:pos="170"/>
              </w:tabs>
              <w:adjustRightInd w:val="0"/>
              <w:snapToGrid w:val="0"/>
              <w:ind w:firstLineChars="0" w:firstLine="0"/>
              <w:cnfStyle w:val="000000000000"/>
              <w:rPr>
                <w:rFonts w:eastAsiaTheme="minorEastAsia"/>
                <w:sz w:val="18"/>
                <w:szCs w:val="18"/>
              </w:rPr>
            </w:pPr>
            <w:r w:rsidRPr="00F429CB">
              <w:rPr>
                <w:rFonts w:eastAsiaTheme="minorEastAsia"/>
                <w:sz w:val="18"/>
                <w:szCs w:val="18"/>
              </w:rPr>
              <w:t>-0.27</w:t>
            </w:r>
          </w:p>
        </w:tc>
      </w:tr>
      <w:tr w:rsidR="00C968F8" w:rsidRPr="00D51C66" w:rsidTr="00C968F8">
        <w:trPr>
          <w:cnfStyle w:val="000000100000"/>
          <w:trHeight w:val="255"/>
          <w:jc w:val="center"/>
        </w:trPr>
        <w:tc>
          <w:tcPr>
            <w:cnfStyle w:val="001000000000"/>
            <w:tcW w:w="1276" w:type="dxa"/>
            <w:shd w:val="clear" w:color="auto" w:fill="auto"/>
            <w:vAlign w:val="center"/>
          </w:tcPr>
          <w:p w:rsidR="00C968F8" w:rsidRPr="00D51C66" w:rsidRDefault="00C968F8" w:rsidP="001F0251">
            <w:pPr>
              <w:adjustRightInd w:val="0"/>
              <w:snapToGrid w:val="0"/>
              <w:ind w:firstLineChars="0" w:firstLine="0"/>
              <w:rPr>
                <w:rFonts w:eastAsia="MS PGothic"/>
                <w:b w:val="0"/>
                <w:sz w:val="18"/>
                <w:szCs w:val="18"/>
              </w:rPr>
            </w:pPr>
            <w:r w:rsidRPr="00D51C66">
              <w:rPr>
                <w:rFonts w:eastAsia="MS PGothic"/>
                <w:b w:val="0"/>
                <w:sz w:val="18"/>
                <w:szCs w:val="18"/>
              </w:rPr>
              <w:t>Wald</w:t>
            </w:r>
          </w:p>
        </w:tc>
        <w:tc>
          <w:tcPr>
            <w:cnfStyle w:val="000010000000"/>
            <w:tcW w:w="992" w:type="dxa"/>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p>
        </w:tc>
        <w:tc>
          <w:tcPr>
            <w:tcW w:w="1701" w:type="dxa"/>
            <w:gridSpan w:val="2"/>
            <w:shd w:val="clear" w:color="auto" w:fill="auto"/>
            <w:vAlign w:val="center"/>
          </w:tcPr>
          <w:p w:rsidR="00C968F8" w:rsidRPr="00C968F8" w:rsidRDefault="00C968F8" w:rsidP="001F0251">
            <w:pPr>
              <w:tabs>
                <w:tab w:val="decimal" w:pos="272"/>
              </w:tabs>
              <w:adjustRightInd w:val="0"/>
              <w:snapToGrid w:val="0"/>
              <w:ind w:firstLineChars="0" w:firstLine="0"/>
              <w:cnfStyle w:val="000000100000"/>
              <w:rPr>
                <w:rFonts w:eastAsia="MS PGothic"/>
                <w:sz w:val="18"/>
                <w:szCs w:val="18"/>
              </w:rPr>
            </w:pPr>
            <w:r w:rsidRPr="00C968F8">
              <w:rPr>
                <w:rFonts w:eastAsia="MS PGothic"/>
                <w:sz w:val="18"/>
                <w:szCs w:val="18"/>
              </w:rPr>
              <w:t>75.58</w:t>
            </w:r>
            <w:r w:rsidRPr="00F429CB">
              <w:rPr>
                <w:rFonts w:eastAsia="MS PGothic"/>
                <w:sz w:val="18"/>
                <w:szCs w:val="18"/>
                <w:vertAlign w:val="superscript"/>
              </w:rPr>
              <w:t>***</w:t>
            </w:r>
          </w:p>
        </w:tc>
        <w:tc>
          <w:tcPr>
            <w:cnfStyle w:val="000010000000"/>
            <w:tcW w:w="142" w:type="dxa"/>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p>
        </w:tc>
        <w:tc>
          <w:tcPr>
            <w:tcW w:w="1701" w:type="dxa"/>
            <w:gridSpan w:val="2"/>
            <w:shd w:val="clear" w:color="auto" w:fill="auto"/>
            <w:vAlign w:val="center"/>
          </w:tcPr>
          <w:p w:rsidR="00C968F8" w:rsidRPr="00F429CB" w:rsidRDefault="00C968F8" w:rsidP="001F0251">
            <w:pPr>
              <w:tabs>
                <w:tab w:val="decimal" w:pos="272"/>
              </w:tabs>
              <w:adjustRightInd w:val="0"/>
              <w:snapToGrid w:val="0"/>
              <w:ind w:firstLineChars="0" w:firstLine="0"/>
              <w:cnfStyle w:val="000000100000"/>
              <w:rPr>
                <w:rFonts w:eastAsia="MS PGothic"/>
                <w:sz w:val="18"/>
                <w:szCs w:val="18"/>
              </w:rPr>
            </w:pPr>
            <w:r w:rsidRPr="00F429CB">
              <w:rPr>
                <w:rFonts w:eastAsia="MS PGothic"/>
                <w:sz w:val="18"/>
                <w:szCs w:val="18"/>
              </w:rPr>
              <w:t>61.63</w:t>
            </w:r>
            <w:r w:rsidRPr="00F429CB">
              <w:rPr>
                <w:rFonts w:eastAsia="MS PGothic"/>
                <w:sz w:val="18"/>
                <w:szCs w:val="18"/>
                <w:vertAlign w:val="superscript"/>
              </w:rPr>
              <w:t>***</w:t>
            </w:r>
          </w:p>
        </w:tc>
        <w:tc>
          <w:tcPr>
            <w:cnfStyle w:val="000010000000"/>
            <w:tcW w:w="157" w:type="dxa"/>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p>
        </w:tc>
        <w:tc>
          <w:tcPr>
            <w:tcW w:w="1686" w:type="dxa"/>
            <w:gridSpan w:val="2"/>
            <w:shd w:val="clear" w:color="auto" w:fill="auto"/>
            <w:vAlign w:val="center"/>
          </w:tcPr>
          <w:p w:rsidR="00C968F8" w:rsidRPr="00D51C66" w:rsidRDefault="00C968F8" w:rsidP="001F0251">
            <w:pPr>
              <w:tabs>
                <w:tab w:val="decimal" w:pos="272"/>
              </w:tabs>
              <w:adjustRightInd w:val="0"/>
              <w:snapToGrid w:val="0"/>
              <w:ind w:firstLineChars="0" w:firstLine="0"/>
              <w:cnfStyle w:val="000000100000"/>
              <w:rPr>
                <w:rFonts w:eastAsia="MS PGothic"/>
                <w:sz w:val="18"/>
                <w:szCs w:val="18"/>
              </w:rPr>
            </w:pPr>
            <w:r w:rsidRPr="00D51C66">
              <w:rPr>
                <w:rFonts w:eastAsia="MS PGothic"/>
                <w:sz w:val="18"/>
                <w:szCs w:val="18"/>
              </w:rPr>
              <w:t>75.93</w:t>
            </w:r>
            <w:r w:rsidRPr="00F429CB">
              <w:rPr>
                <w:rFonts w:eastAsia="MS PGothic"/>
                <w:sz w:val="18"/>
                <w:szCs w:val="18"/>
                <w:vertAlign w:val="superscript"/>
              </w:rPr>
              <w:t>***</w:t>
            </w:r>
          </w:p>
        </w:tc>
        <w:tc>
          <w:tcPr>
            <w:cnfStyle w:val="000010000000"/>
            <w:tcW w:w="160" w:type="dxa"/>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p>
        </w:tc>
        <w:tc>
          <w:tcPr>
            <w:tcW w:w="1597" w:type="dxa"/>
            <w:gridSpan w:val="2"/>
            <w:shd w:val="clear" w:color="auto" w:fill="auto"/>
            <w:vAlign w:val="center"/>
          </w:tcPr>
          <w:p w:rsidR="00C968F8" w:rsidRPr="00F429CB" w:rsidRDefault="00C968F8" w:rsidP="001F0251">
            <w:pPr>
              <w:tabs>
                <w:tab w:val="decimal" w:pos="244"/>
              </w:tabs>
              <w:adjustRightInd w:val="0"/>
              <w:snapToGrid w:val="0"/>
              <w:ind w:firstLineChars="0" w:firstLine="0"/>
              <w:cnfStyle w:val="000000100000"/>
              <w:rPr>
                <w:rFonts w:eastAsia="MS PGothic"/>
                <w:sz w:val="18"/>
                <w:szCs w:val="18"/>
              </w:rPr>
            </w:pPr>
            <w:r w:rsidRPr="00F429CB">
              <w:rPr>
                <w:rFonts w:eastAsia="MS PGothic"/>
                <w:sz w:val="18"/>
                <w:szCs w:val="18"/>
              </w:rPr>
              <w:t>66.36</w:t>
            </w:r>
            <w:r w:rsidRPr="00F429CB">
              <w:rPr>
                <w:rFonts w:eastAsia="MS PGothic"/>
                <w:sz w:val="18"/>
                <w:szCs w:val="18"/>
                <w:vertAlign w:val="superscript"/>
              </w:rPr>
              <w:t>***</w:t>
            </w:r>
          </w:p>
        </w:tc>
      </w:tr>
      <w:tr w:rsidR="00C968F8" w:rsidRPr="00D51C66" w:rsidTr="00C968F8">
        <w:trPr>
          <w:trHeight w:val="255"/>
          <w:jc w:val="center"/>
        </w:trPr>
        <w:tc>
          <w:tcPr>
            <w:cnfStyle w:val="001000000000"/>
            <w:tcW w:w="1276" w:type="dxa"/>
            <w:tcBorders>
              <w:bottom w:val="single" w:sz="12" w:space="0" w:color="000000" w:themeColor="text1"/>
            </w:tcBorders>
            <w:shd w:val="clear" w:color="auto" w:fill="auto"/>
            <w:vAlign w:val="center"/>
          </w:tcPr>
          <w:p w:rsidR="00C968F8" w:rsidRPr="00D51C66" w:rsidRDefault="00C968F8" w:rsidP="001F0251">
            <w:pPr>
              <w:adjustRightInd w:val="0"/>
              <w:snapToGrid w:val="0"/>
              <w:ind w:firstLineChars="0" w:firstLine="0"/>
              <w:rPr>
                <w:rFonts w:eastAsia="MS PGothic"/>
                <w:b w:val="0"/>
                <w:sz w:val="18"/>
                <w:szCs w:val="18"/>
              </w:rPr>
            </w:pPr>
            <w:r w:rsidRPr="00C968F8">
              <w:rPr>
                <w:rFonts w:eastAsia="MS PGothic"/>
                <w:b w:val="0"/>
                <w:i/>
                <w:sz w:val="18"/>
                <w:szCs w:val="18"/>
              </w:rPr>
              <w:t>R</w:t>
            </w:r>
            <w:r w:rsidRPr="00D51C66">
              <w:rPr>
                <w:rFonts w:eastAsia="MS PGothic"/>
                <w:b w:val="0"/>
                <w:sz w:val="18"/>
                <w:szCs w:val="18"/>
              </w:rPr>
              <w:t>-squared</w:t>
            </w:r>
          </w:p>
        </w:tc>
        <w:tc>
          <w:tcPr>
            <w:cnfStyle w:val="000010000000"/>
            <w:tcW w:w="992" w:type="dxa"/>
            <w:tcBorders>
              <w:bottom w:val="single" w:sz="12" w:space="0" w:color="000000" w:themeColor="text1"/>
            </w:tcBorders>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p>
        </w:tc>
        <w:tc>
          <w:tcPr>
            <w:tcW w:w="1701" w:type="dxa"/>
            <w:gridSpan w:val="2"/>
            <w:tcBorders>
              <w:bottom w:val="single" w:sz="12" w:space="0" w:color="000000" w:themeColor="text1"/>
              <w:right w:val="nil"/>
            </w:tcBorders>
            <w:shd w:val="clear" w:color="auto" w:fill="auto"/>
            <w:vAlign w:val="center"/>
          </w:tcPr>
          <w:p w:rsidR="00C968F8" w:rsidRPr="00C968F8" w:rsidRDefault="00C968F8" w:rsidP="001F0251">
            <w:pPr>
              <w:tabs>
                <w:tab w:val="decimal" w:pos="272"/>
              </w:tabs>
              <w:adjustRightInd w:val="0"/>
              <w:snapToGrid w:val="0"/>
              <w:ind w:firstLineChars="0" w:firstLine="0"/>
              <w:cnfStyle w:val="000000000000"/>
              <w:rPr>
                <w:rFonts w:eastAsia="MS PGothic"/>
                <w:sz w:val="18"/>
                <w:szCs w:val="18"/>
              </w:rPr>
            </w:pPr>
            <w:r w:rsidRPr="00C968F8">
              <w:rPr>
                <w:rFonts w:eastAsia="MS PGothic"/>
                <w:sz w:val="18"/>
                <w:szCs w:val="18"/>
              </w:rPr>
              <w:t>0.4317</w:t>
            </w:r>
          </w:p>
        </w:tc>
        <w:tc>
          <w:tcPr>
            <w:cnfStyle w:val="000010000000"/>
            <w:tcW w:w="142" w:type="dxa"/>
            <w:tcBorders>
              <w:bottom w:val="single" w:sz="12" w:space="0" w:color="000000" w:themeColor="text1"/>
            </w:tcBorders>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p>
        </w:tc>
        <w:tc>
          <w:tcPr>
            <w:tcW w:w="1701" w:type="dxa"/>
            <w:gridSpan w:val="2"/>
            <w:tcBorders>
              <w:bottom w:val="single" w:sz="12" w:space="0" w:color="000000" w:themeColor="text1"/>
              <w:right w:val="nil"/>
            </w:tcBorders>
            <w:shd w:val="clear" w:color="auto" w:fill="auto"/>
            <w:vAlign w:val="center"/>
          </w:tcPr>
          <w:p w:rsidR="00C968F8" w:rsidRPr="00F429CB" w:rsidRDefault="00C968F8" w:rsidP="001F0251">
            <w:pPr>
              <w:tabs>
                <w:tab w:val="decimal" w:pos="272"/>
              </w:tabs>
              <w:adjustRightInd w:val="0"/>
              <w:snapToGrid w:val="0"/>
              <w:ind w:firstLineChars="0" w:firstLine="0"/>
              <w:cnfStyle w:val="000000000000"/>
              <w:rPr>
                <w:rFonts w:eastAsia="MS PGothic"/>
                <w:sz w:val="18"/>
                <w:szCs w:val="18"/>
              </w:rPr>
            </w:pPr>
            <w:r w:rsidRPr="00F429CB">
              <w:rPr>
                <w:rFonts w:eastAsia="MS PGothic"/>
                <w:sz w:val="18"/>
                <w:szCs w:val="18"/>
              </w:rPr>
              <w:t>0.4136</w:t>
            </w:r>
          </w:p>
        </w:tc>
        <w:tc>
          <w:tcPr>
            <w:cnfStyle w:val="000010000000"/>
            <w:tcW w:w="157" w:type="dxa"/>
            <w:tcBorders>
              <w:bottom w:val="single" w:sz="12" w:space="0" w:color="000000" w:themeColor="text1"/>
            </w:tcBorders>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p>
        </w:tc>
        <w:tc>
          <w:tcPr>
            <w:tcW w:w="1686" w:type="dxa"/>
            <w:gridSpan w:val="2"/>
            <w:tcBorders>
              <w:bottom w:val="single" w:sz="12" w:space="0" w:color="000000" w:themeColor="text1"/>
              <w:right w:val="nil"/>
            </w:tcBorders>
            <w:shd w:val="clear" w:color="auto" w:fill="auto"/>
            <w:vAlign w:val="center"/>
          </w:tcPr>
          <w:p w:rsidR="00C968F8" w:rsidRPr="00D51C66" w:rsidRDefault="00C968F8" w:rsidP="001F0251">
            <w:pPr>
              <w:tabs>
                <w:tab w:val="decimal" w:pos="272"/>
              </w:tabs>
              <w:adjustRightInd w:val="0"/>
              <w:snapToGrid w:val="0"/>
              <w:ind w:firstLineChars="0" w:firstLine="0"/>
              <w:cnfStyle w:val="000000000000"/>
              <w:rPr>
                <w:rFonts w:eastAsia="MS PGothic"/>
                <w:sz w:val="18"/>
                <w:szCs w:val="18"/>
              </w:rPr>
            </w:pPr>
            <w:r w:rsidRPr="00D51C66">
              <w:rPr>
                <w:rFonts w:eastAsia="MS PGothic"/>
                <w:sz w:val="18"/>
                <w:szCs w:val="18"/>
              </w:rPr>
              <w:t>0.4022</w:t>
            </w:r>
          </w:p>
        </w:tc>
        <w:tc>
          <w:tcPr>
            <w:cnfStyle w:val="000010000000"/>
            <w:tcW w:w="160" w:type="dxa"/>
            <w:tcBorders>
              <w:bottom w:val="single" w:sz="12" w:space="0" w:color="000000" w:themeColor="text1"/>
            </w:tcBorders>
            <w:shd w:val="clear" w:color="auto" w:fill="auto"/>
            <w:vAlign w:val="center"/>
          </w:tcPr>
          <w:p w:rsidR="00C968F8" w:rsidRPr="00D51C66" w:rsidRDefault="00C968F8" w:rsidP="001F0251">
            <w:pPr>
              <w:adjustRightInd w:val="0"/>
              <w:snapToGrid w:val="0"/>
              <w:ind w:firstLineChars="0" w:firstLine="0"/>
              <w:rPr>
                <w:rFonts w:eastAsia="MS PGothic"/>
                <w:sz w:val="18"/>
                <w:szCs w:val="18"/>
              </w:rPr>
            </w:pPr>
          </w:p>
        </w:tc>
        <w:tc>
          <w:tcPr>
            <w:tcW w:w="1597" w:type="dxa"/>
            <w:gridSpan w:val="2"/>
            <w:tcBorders>
              <w:bottom w:val="single" w:sz="12" w:space="0" w:color="000000" w:themeColor="text1"/>
            </w:tcBorders>
            <w:shd w:val="clear" w:color="auto" w:fill="auto"/>
            <w:vAlign w:val="center"/>
          </w:tcPr>
          <w:p w:rsidR="00C968F8" w:rsidRPr="00F429CB" w:rsidRDefault="00C968F8" w:rsidP="001F0251">
            <w:pPr>
              <w:tabs>
                <w:tab w:val="decimal" w:pos="244"/>
              </w:tabs>
              <w:adjustRightInd w:val="0"/>
              <w:snapToGrid w:val="0"/>
              <w:ind w:firstLineChars="0" w:firstLine="0"/>
              <w:cnfStyle w:val="000000000000"/>
              <w:rPr>
                <w:rFonts w:eastAsia="MS PGothic"/>
                <w:sz w:val="18"/>
                <w:szCs w:val="18"/>
              </w:rPr>
            </w:pPr>
            <w:r w:rsidRPr="00F429CB">
              <w:rPr>
                <w:rFonts w:eastAsia="MS PGothic"/>
                <w:sz w:val="18"/>
                <w:szCs w:val="18"/>
              </w:rPr>
              <w:t>0.3908</w:t>
            </w:r>
          </w:p>
        </w:tc>
      </w:tr>
    </w:tbl>
    <w:p w:rsidR="00C968F8" w:rsidRDefault="00C968F8" w:rsidP="001F0251">
      <w:pPr>
        <w:snapToGrid w:val="0"/>
        <w:spacing w:line="288" w:lineRule="auto"/>
        <w:ind w:firstLineChars="0" w:firstLine="0"/>
      </w:pPr>
      <w:r w:rsidRPr="00A701F7">
        <w:rPr>
          <w:rFonts w:hint="eastAsia"/>
          <w:i/>
          <w:sz w:val="18"/>
          <w:szCs w:val="18"/>
        </w:rPr>
        <w:t>Note</w:t>
      </w:r>
      <w:r>
        <w:rPr>
          <w:rFonts w:hint="eastAsia"/>
          <w:sz w:val="18"/>
          <w:szCs w:val="18"/>
        </w:rPr>
        <w:t xml:space="preserve">. </w:t>
      </w:r>
      <w:r w:rsidRPr="007D270E">
        <w:rPr>
          <w:sz w:val="18"/>
          <w:szCs w:val="18"/>
          <w:vertAlign w:val="superscript"/>
        </w:rPr>
        <w:t>***</w:t>
      </w:r>
      <w:r>
        <w:rPr>
          <w:rFonts w:hint="eastAsia"/>
          <w:sz w:val="18"/>
          <w:szCs w:val="18"/>
        </w:rPr>
        <w:t xml:space="preserve">, </w:t>
      </w:r>
      <w:r w:rsidRPr="007D270E">
        <w:rPr>
          <w:sz w:val="18"/>
          <w:szCs w:val="18"/>
          <w:vertAlign w:val="superscript"/>
        </w:rPr>
        <w:t>**</w:t>
      </w:r>
      <w:r>
        <w:rPr>
          <w:rFonts w:hint="eastAsia"/>
          <w:sz w:val="18"/>
          <w:szCs w:val="18"/>
        </w:rPr>
        <w:t xml:space="preserve">, and </w:t>
      </w:r>
      <w:r w:rsidRPr="007D270E">
        <w:rPr>
          <w:sz w:val="18"/>
          <w:szCs w:val="18"/>
          <w:vertAlign w:val="superscript"/>
        </w:rPr>
        <w:t>*</w:t>
      </w:r>
      <w:r w:rsidRPr="007D270E">
        <w:rPr>
          <w:rFonts w:hint="eastAsia"/>
          <w:sz w:val="18"/>
          <w:szCs w:val="18"/>
        </w:rPr>
        <w:t xml:space="preserve"> </w:t>
      </w:r>
      <w:r w:rsidRPr="007D270E">
        <w:rPr>
          <w:sz w:val="18"/>
          <w:szCs w:val="18"/>
        </w:rPr>
        <w:t>i</w:t>
      </w:r>
      <w:r>
        <w:rPr>
          <w:sz w:val="18"/>
          <w:szCs w:val="18"/>
        </w:rPr>
        <w:t>ndicate</w:t>
      </w:r>
      <w:r w:rsidRPr="00A701F7">
        <w:rPr>
          <w:sz w:val="18"/>
          <w:szCs w:val="18"/>
        </w:rPr>
        <w:t xml:space="preserve"> significance at </w:t>
      </w:r>
      <w:r>
        <w:rPr>
          <w:rFonts w:hint="eastAsia"/>
          <w:sz w:val="18"/>
          <w:szCs w:val="18"/>
        </w:rPr>
        <w:t>the levels of 0</w:t>
      </w:r>
      <w:r w:rsidRPr="00A701F7">
        <w:rPr>
          <w:sz w:val="18"/>
          <w:szCs w:val="18"/>
        </w:rPr>
        <w:t>.01</w:t>
      </w:r>
      <w:r>
        <w:rPr>
          <w:rFonts w:hint="eastAsia"/>
          <w:sz w:val="18"/>
          <w:szCs w:val="18"/>
        </w:rPr>
        <w:t>, 0.</w:t>
      </w:r>
      <w:r>
        <w:rPr>
          <w:sz w:val="18"/>
          <w:szCs w:val="18"/>
        </w:rPr>
        <w:t>05, and</w:t>
      </w:r>
      <w:r>
        <w:rPr>
          <w:rFonts w:hint="eastAsia"/>
          <w:sz w:val="18"/>
          <w:szCs w:val="18"/>
        </w:rPr>
        <w:t xml:space="preserve"> 0</w:t>
      </w:r>
      <w:r>
        <w:rPr>
          <w:sz w:val="18"/>
          <w:szCs w:val="18"/>
        </w:rPr>
        <w:t>.10</w:t>
      </w:r>
      <w:r w:rsidRPr="00A701F7">
        <w:rPr>
          <w:sz w:val="18"/>
          <w:szCs w:val="18"/>
        </w:rPr>
        <w:t xml:space="preserve"> </w:t>
      </w:r>
      <w:r>
        <w:rPr>
          <w:rFonts w:hint="eastAsia"/>
          <w:sz w:val="18"/>
          <w:szCs w:val="18"/>
        </w:rPr>
        <w:t>(</w:t>
      </w:r>
      <w:r w:rsidRPr="00A701F7">
        <w:rPr>
          <w:sz w:val="18"/>
          <w:szCs w:val="18"/>
        </w:rPr>
        <w:t>two-tailed test</w:t>
      </w:r>
      <w:r>
        <w:rPr>
          <w:rFonts w:hint="eastAsia"/>
          <w:sz w:val="18"/>
          <w:szCs w:val="18"/>
        </w:rPr>
        <w:t>)</w:t>
      </w:r>
      <w:r>
        <w:rPr>
          <w:rFonts w:hint="eastAsia"/>
        </w:rPr>
        <w:t>.</w:t>
      </w:r>
    </w:p>
    <w:p w:rsidR="00D51C66" w:rsidRPr="00D51C66" w:rsidRDefault="00D51C66" w:rsidP="001F0251">
      <w:pPr>
        <w:pStyle w:val="aff"/>
        <w:wordWrap/>
        <w:adjustRightInd/>
        <w:jc w:val="both"/>
        <w:rPr>
          <w:rFonts w:eastAsiaTheme="minorEastAsia" w:cs="Times New Roman"/>
          <w:b w:val="0"/>
          <w:lang w:eastAsia="zh-CN"/>
        </w:rPr>
      </w:pPr>
      <w:r w:rsidRPr="00D51C66">
        <w:rPr>
          <w:rFonts w:cs="Times New Roman"/>
          <w:b w:val="0"/>
        </w:rPr>
        <w:lastRenderedPageBreak/>
        <w:t>Table 5</w:t>
      </w:r>
    </w:p>
    <w:p w:rsidR="00D51C66" w:rsidRPr="00D51C66" w:rsidRDefault="00D51C66" w:rsidP="001F0251">
      <w:pPr>
        <w:pStyle w:val="aff"/>
        <w:wordWrap/>
        <w:adjustRightInd/>
        <w:jc w:val="both"/>
        <w:rPr>
          <w:rFonts w:cs="Times New Roman"/>
          <w:b w:val="0"/>
          <w:i/>
        </w:rPr>
      </w:pPr>
      <w:r w:rsidRPr="00D51C66">
        <w:rPr>
          <w:rFonts w:cs="Times New Roman"/>
          <w:b w:val="0"/>
          <w:i/>
        </w:rPr>
        <w:t>Results With Cash_ETR as the TAX Variable</w:t>
      </w:r>
    </w:p>
    <w:tbl>
      <w:tblPr>
        <w:tblStyle w:val="13"/>
        <w:tblW w:w="9460" w:type="dxa"/>
        <w:jc w:val="center"/>
        <w:tblCellMar>
          <w:left w:w="28" w:type="dxa"/>
          <w:right w:w="28" w:type="dxa"/>
        </w:tblCellMar>
        <w:tblLook w:val="00A0"/>
      </w:tblPr>
      <w:tblGrid>
        <w:gridCol w:w="1300"/>
        <w:gridCol w:w="874"/>
        <w:gridCol w:w="903"/>
        <w:gridCol w:w="903"/>
        <w:gridCol w:w="155"/>
        <w:gridCol w:w="839"/>
        <w:gridCol w:w="840"/>
        <w:gridCol w:w="164"/>
        <w:gridCol w:w="850"/>
        <w:gridCol w:w="851"/>
        <w:gridCol w:w="142"/>
        <w:gridCol w:w="819"/>
        <w:gridCol w:w="820"/>
      </w:tblGrid>
      <w:tr w:rsidR="00BF34B6" w:rsidRPr="00D51C66" w:rsidTr="00BF34B6">
        <w:trPr>
          <w:cnfStyle w:val="100000000000"/>
          <w:trHeight w:val="255"/>
          <w:jc w:val="center"/>
        </w:trPr>
        <w:tc>
          <w:tcPr>
            <w:cnfStyle w:val="001000000000"/>
            <w:tcW w:w="1300" w:type="dxa"/>
            <w:vMerge w:val="restart"/>
            <w:tcBorders>
              <w:top w:val="single" w:sz="12" w:space="0" w:color="000000" w:themeColor="text1"/>
            </w:tcBorders>
            <w:shd w:val="clear" w:color="auto" w:fill="auto"/>
            <w:vAlign w:val="center"/>
          </w:tcPr>
          <w:p w:rsidR="00BF34B6" w:rsidRPr="00677F83" w:rsidRDefault="00677F83" w:rsidP="001F0251">
            <w:pPr>
              <w:adjustRightInd w:val="0"/>
              <w:snapToGrid w:val="0"/>
              <w:ind w:firstLineChars="0" w:firstLine="0"/>
              <w:rPr>
                <w:rFonts w:eastAsiaTheme="minorEastAsia"/>
                <w:b w:val="0"/>
                <w:sz w:val="18"/>
                <w:szCs w:val="18"/>
                <w:lang w:eastAsia="zh-CN"/>
              </w:rPr>
            </w:pPr>
            <w:r>
              <w:rPr>
                <w:rFonts w:eastAsiaTheme="minorEastAsia" w:hint="eastAsia"/>
                <w:b w:val="0"/>
                <w:sz w:val="18"/>
                <w:szCs w:val="18"/>
                <w:lang w:eastAsia="zh-CN"/>
              </w:rPr>
              <w:t>Variable</w:t>
            </w:r>
          </w:p>
        </w:tc>
        <w:tc>
          <w:tcPr>
            <w:cnfStyle w:val="000010000000"/>
            <w:tcW w:w="874" w:type="dxa"/>
            <w:vMerge w:val="restart"/>
            <w:tcBorders>
              <w:top w:val="single" w:sz="12" w:space="0" w:color="000000" w:themeColor="text1"/>
            </w:tcBorders>
            <w:shd w:val="clear" w:color="auto" w:fill="auto"/>
            <w:vAlign w:val="center"/>
          </w:tcPr>
          <w:p w:rsidR="00BF34B6" w:rsidRPr="00BF34B6" w:rsidRDefault="00BF34B6" w:rsidP="001F0251">
            <w:pPr>
              <w:adjustRightInd w:val="0"/>
              <w:snapToGrid w:val="0"/>
              <w:ind w:firstLineChars="0" w:firstLine="0"/>
              <w:rPr>
                <w:rFonts w:eastAsiaTheme="minorEastAsia"/>
                <w:b w:val="0"/>
                <w:sz w:val="18"/>
                <w:szCs w:val="18"/>
                <w:lang w:eastAsia="zh-CN"/>
              </w:rPr>
            </w:pPr>
            <w:r w:rsidRPr="00F429CB">
              <w:rPr>
                <w:rFonts w:eastAsia="MS PGothic"/>
                <w:b w:val="0"/>
                <w:sz w:val="18"/>
                <w:szCs w:val="18"/>
              </w:rPr>
              <w:t xml:space="preserve">Predicted </w:t>
            </w:r>
            <w:r>
              <w:rPr>
                <w:rFonts w:eastAsiaTheme="minorEastAsia" w:hint="eastAsia"/>
                <w:b w:val="0"/>
                <w:sz w:val="18"/>
                <w:szCs w:val="18"/>
                <w:lang w:eastAsia="zh-CN"/>
              </w:rPr>
              <w:t>s</w:t>
            </w:r>
            <w:r w:rsidRPr="00F429CB">
              <w:rPr>
                <w:rFonts w:eastAsia="MS PGothic"/>
                <w:b w:val="0"/>
                <w:sz w:val="18"/>
                <w:szCs w:val="18"/>
              </w:rPr>
              <w:t>ign</w:t>
            </w:r>
          </w:p>
        </w:tc>
        <w:tc>
          <w:tcPr>
            <w:tcW w:w="1806" w:type="dxa"/>
            <w:gridSpan w:val="2"/>
            <w:tcBorders>
              <w:top w:val="single" w:sz="12" w:space="0" w:color="000000" w:themeColor="text1"/>
              <w:bottom w:val="single" w:sz="4" w:space="0" w:color="000000" w:themeColor="text1"/>
            </w:tcBorders>
            <w:shd w:val="clear" w:color="auto" w:fill="auto"/>
            <w:vAlign w:val="center"/>
          </w:tcPr>
          <w:p w:rsidR="00BF34B6" w:rsidRPr="00D51C66" w:rsidRDefault="00BF34B6" w:rsidP="001F0251">
            <w:pPr>
              <w:adjustRightInd w:val="0"/>
              <w:snapToGrid w:val="0"/>
              <w:ind w:firstLineChars="0" w:firstLine="0"/>
              <w:jc w:val="center"/>
              <w:cnfStyle w:val="100000000000"/>
              <w:rPr>
                <w:rFonts w:eastAsia="MS PGothic"/>
                <w:b w:val="0"/>
                <w:sz w:val="18"/>
                <w:szCs w:val="18"/>
              </w:rPr>
            </w:pPr>
            <w:r w:rsidRPr="00D51C66">
              <w:rPr>
                <w:rFonts w:eastAsia="MS PGothic"/>
                <w:b w:val="0"/>
                <w:sz w:val="18"/>
                <w:szCs w:val="18"/>
              </w:rPr>
              <w:t>Model 1</w:t>
            </w:r>
          </w:p>
        </w:tc>
        <w:tc>
          <w:tcPr>
            <w:cnfStyle w:val="000010000000"/>
            <w:tcW w:w="155" w:type="dxa"/>
            <w:tcBorders>
              <w:top w:val="single" w:sz="12" w:space="0" w:color="000000" w:themeColor="text1"/>
              <w:bottom w:val="nil"/>
            </w:tcBorders>
            <w:shd w:val="clear" w:color="auto" w:fill="auto"/>
            <w:vAlign w:val="center"/>
          </w:tcPr>
          <w:p w:rsidR="00BF34B6" w:rsidRPr="00D51C66" w:rsidRDefault="00BF34B6" w:rsidP="001F0251">
            <w:pPr>
              <w:adjustRightInd w:val="0"/>
              <w:snapToGrid w:val="0"/>
              <w:ind w:firstLineChars="0" w:firstLine="0"/>
              <w:rPr>
                <w:rFonts w:eastAsia="MS PGothic"/>
                <w:bCs w:val="0"/>
                <w:sz w:val="18"/>
                <w:szCs w:val="18"/>
              </w:rPr>
            </w:pPr>
          </w:p>
        </w:tc>
        <w:tc>
          <w:tcPr>
            <w:tcW w:w="1679" w:type="dxa"/>
            <w:gridSpan w:val="2"/>
            <w:tcBorders>
              <w:top w:val="single" w:sz="12" w:space="0" w:color="000000" w:themeColor="text1"/>
              <w:bottom w:val="single" w:sz="4" w:space="0" w:color="000000" w:themeColor="text1"/>
            </w:tcBorders>
            <w:shd w:val="clear" w:color="auto" w:fill="auto"/>
            <w:vAlign w:val="center"/>
          </w:tcPr>
          <w:p w:rsidR="00BF34B6" w:rsidRPr="00D51C66" w:rsidRDefault="00BF34B6" w:rsidP="001F0251">
            <w:pPr>
              <w:adjustRightInd w:val="0"/>
              <w:snapToGrid w:val="0"/>
              <w:ind w:firstLineChars="0" w:firstLine="0"/>
              <w:jc w:val="center"/>
              <w:cnfStyle w:val="100000000000"/>
              <w:rPr>
                <w:rFonts w:eastAsia="MS PGothic"/>
                <w:b w:val="0"/>
                <w:sz w:val="18"/>
                <w:szCs w:val="18"/>
              </w:rPr>
            </w:pPr>
            <w:r w:rsidRPr="00D51C66">
              <w:rPr>
                <w:rFonts w:eastAsia="MS PGothic"/>
                <w:b w:val="0"/>
                <w:sz w:val="18"/>
                <w:szCs w:val="18"/>
              </w:rPr>
              <w:t>Model 2</w:t>
            </w:r>
          </w:p>
        </w:tc>
        <w:tc>
          <w:tcPr>
            <w:cnfStyle w:val="000010000000"/>
            <w:tcW w:w="164" w:type="dxa"/>
            <w:tcBorders>
              <w:top w:val="single" w:sz="12" w:space="0" w:color="000000" w:themeColor="text1"/>
              <w:bottom w:val="nil"/>
            </w:tcBorders>
            <w:shd w:val="clear" w:color="auto" w:fill="auto"/>
            <w:vAlign w:val="center"/>
          </w:tcPr>
          <w:p w:rsidR="00BF34B6" w:rsidRPr="00D51C66" w:rsidRDefault="00BF34B6" w:rsidP="001F0251">
            <w:pPr>
              <w:adjustRightInd w:val="0"/>
              <w:snapToGrid w:val="0"/>
              <w:ind w:firstLineChars="0" w:firstLine="0"/>
              <w:rPr>
                <w:rFonts w:eastAsia="MS PGothic"/>
                <w:bCs w:val="0"/>
                <w:sz w:val="18"/>
                <w:szCs w:val="18"/>
              </w:rPr>
            </w:pPr>
          </w:p>
        </w:tc>
        <w:tc>
          <w:tcPr>
            <w:tcW w:w="1701" w:type="dxa"/>
            <w:gridSpan w:val="2"/>
            <w:tcBorders>
              <w:top w:val="single" w:sz="12" w:space="0" w:color="000000" w:themeColor="text1"/>
              <w:bottom w:val="single" w:sz="4" w:space="0" w:color="000000" w:themeColor="text1"/>
            </w:tcBorders>
            <w:shd w:val="clear" w:color="auto" w:fill="auto"/>
            <w:vAlign w:val="center"/>
          </w:tcPr>
          <w:p w:rsidR="00BF34B6" w:rsidRPr="00D51C66" w:rsidRDefault="00BF34B6" w:rsidP="001F0251">
            <w:pPr>
              <w:adjustRightInd w:val="0"/>
              <w:snapToGrid w:val="0"/>
              <w:ind w:firstLineChars="0" w:firstLine="0"/>
              <w:jc w:val="center"/>
              <w:cnfStyle w:val="100000000000"/>
              <w:rPr>
                <w:rFonts w:eastAsia="MS PGothic"/>
                <w:b w:val="0"/>
                <w:sz w:val="18"/>
                <w:szCs w:val="18"/>
              </w:rPr>
            </w:pPr>
            <w:r w:rsidRPr="00D51C66">
              <w:rPr>
                <w:rFonts w:eastAsia="MS PGothic"/>
                <w:b w:val="0"/>
                <w:sz w:val="18"/>
                <w:szCs w:val="18"/>
              </w:rPr>
              <w:t>Model 3</w:t>
            </w:r>
          </w:p>
        </w:tc>
        <w:tc>
          <w:tcPr>
            <w:cnfStyle w:val="000010000000"/>
            <w:tcW w:w="142" w:type="dxa"/>
            <w:tcBorders>
              <w:top w:val="single" w:sz="12" w:space="0" w:color="000000" w:themeColor="text1"/>
              <w:bottom w:val="nil"/>
            </w:tcBorders>
            <w:shd w:val="clear" w:color="auto" w:fill="auto"/>
            <w:vAlign w:val="center"/>
          </w:tcPr>
          <w:p w:rsidR="00BF34B6" w:rsidRPr="00D51C66" w:rsidRDefault="00BF34B6" w:rsidP="001F0251">
            <w:pPr>
              <w:adjustRightInd w:val="0"/>
              <w:snapToGrid w:val="0"/>
              <w:ind w:firstLineChars="0" w:firstLine="0"/>
              <w:rPr>
                <w:rFonts w:eastAsia="MS PGothic"/>
                <w:bCs w:val="0"/>
                <w:sz w:val="18"/>
                <w:szCs w:val="18"/>
              </w:rPr>
            </w:pPr>
          </w:p>
        </w:tc>
        <w:tc>
          <w:tcPr>
            <w:tcW w:w="1639" w:type="dxa"/>
            <w:gridSpan w:val="2"/>
            <w:tcBorders>
              <w:top w:val="single" w:sz="12" w:space="0" w:color="000000" w:themeColor="text1"/>
              <w:bottom w:val="single" w:sz="4" w:space="0" w:color="000000" w:themeColor="text1"/>
            </w:tcBorders>
            <w:shd w:val="clear" w:color="auto" w:fill="auto"/>
            <w:vAlign w:val="center"/>
          </w:tcPr>
          <w:p w:rsidR="00BF34B6" w:rsidRPr="00D51C66" w:rsidRDefault="00BF34B6" w:rsidP="001F0251">
            <w:pPr>
              <w:adjustRightInd w:val="0"/>
              <w:snapToGrid w:val="0"/>
              <w:ind w:firstLineChars="0" w:firstLine="0"/>
              <w:jc w:val="center"/>
              <w:cnfStyle w:val="100000000000"/>
              <w:rPr>
                <w:rFonts w:eastAsia="MS PGothic"/>
                <w:b w:val="0"/>
                <w:sz w:val="18"/>
                <w:szCs w:val="18"/>
              </w:rPr>
            </w:pPr>
            <w:r w:rsidRPr="00D51C66">
              <w:rPr>
                <w:rFonts w:eastAsia="MS PGothic"/>
                <w:b w:val="0"/>
                <w:sz w:val="18"/>
                <w:szCs w:val="18"/>
              </w:rPr>
              <w:t>Model 4</w:t>
            </w:r>
          </w:p>
        </w:tc>
      </w:tr>
      <w:tr w:rsidR="00BF34B6" w:rsidRPr="00D51C66" w:rsidTr="00BF34B6">
        <w:trPr>
          <w:cnfStyle w:val="000000100000"/>
          <w:trHeight w:val="255"/>
          <w:jc w:val="center"/>
        </w:trPr>
        <w:tc>
          <w:tcPr>
            <w:cnfStyle w:val="001000000000"/>
            <w:tcW w:w="1300" w:type="dxa"/>
            <w:vMerge/>
            <w:tcBorders>
              <w:bottom w:val="single" w:sz="4" w:space="0" w:color="auto"/>
            </w:tcBorders>
            <w:shd w:val="clear" w:color="auto" w:fill="auto"/>
            <w:vAlign w:val="center"/>
          </w:tcPr>
          <w:p w:rsidR="00BF34B6" w:rsidRPr="00D51C66" w:rsidRDefault="00BF34B6" w:rsidP="001F0251">
            <w:pPr>
              <w:adjustRightInd w:val="0"/>
              <w:snapToGrid w:val="0"/>
              <w:ind w:firstLineChars="0" w:firstLine="0"/>
              <w:rPr>
                <w:rFonts w:eastAsia="MS PGothic"/>
                <w:b w:val="0"/>
                <w:sz w:val="18"/>
                <w:szCs w:val="18"/>
              </w:rPr>
            </w:pPr>
          </w:p>
        </w:tc>
        <w:tc>
          <w:tcPr>
            <w:cnfStyle w:val="000010000000"/>
            <w:tcW w:w="874" w:type="dxa"/>
            <w:vMerge/>
            <w:tcBorders>
              <w:bottom w:val="single" w:sz="4" w:space="0" w:color="auto"/>
            </w:tcBorders>
            <w:shd w:val="clear" w:color="auto" w:fill="auto"/>
            <w:vAlign w:val="center"/>
          </w:tcPr>
          <w:p w:rsidR="00BF34B6" w:rsidRPr="00D51C66" w:rsidRDefault="00BF34B6" w:rsidP="001F0251">
            <w:pPr>
              <w:adjustRightInd w:val="0"/>
              <w:snapToGrid w:val="0"/>
              <w:ind w:firstLineChars="0" w:firstLine="0"/>
              <w:rPr>
                <w:rFonts w:eastAsia="MS PGothic"/>
                <w:sz w:val="18"/>
                <w:szCs w:val="18"/>
              </w:rPr>
            </w:pPr>
          </w:p>
        </w:tc>
        <w:tc>
          <w:tcPr>
            <w:tcW w:w="903" w:type="dxa"/>
            <w:tcBorders>
              <w:top w:val="single" w:sz="4" w:space="0" w:color="000000" w:themeColor="text1"/>
              <w:bottom w:val="single" w:sz="4" w:space="0" w:color="auto"/>
            </w:tcBorders>
            <w:shd w:val="clear" w:color="auto" w:fill="auto"/>
            <w:vAlign w:val="center"/>
          </w:tcPr>
          <w:p w:rsidR="00BF34B6" w:rsidRPr="00D51C66" w:rsidRDefault="00BF34B6" w:rsidP="001F0251">
            <w:pPr>
              <w:adjustRightInd w:val="0"/>
              <w:snapToGrid w:val="0"/>
              <w:ind w:firstLineChars="0" w:firstLine="0"/>
              <w:cnfStyle w:val="000000100000"/>
              <w:rPr>
                <w:rFonts w:eastAsia="MS PGothic"/>
                <w:sz w:val="18"/>
                <w:szCs w:val="18"/>
              </w:rPr>
            </w:pPr>
            <w:r w:rsidRPr="00D51C66">
              <w:rPr>
                <w:rFonts w:eastAsia="MS PGothic"/>
                <w:sz w:val="18"/>
                <w:szCs w:val="18"/>
              </w:rPr>
              <w:t>Coef.</w:t>
            </w:r>
          </w:p>
        </w:tc>
        <w:tc>
          <w:tcPr>
            <w:cnfStyle w:val="000010000000"/>
            <w:tcW w:w="903" w:type="dxa"/>
            <w:tcBorders>
              <w:top w:val="single" w:sz="4" w:space="0" w:color="000000" w:themeColor="text1"/>
              <w:bottom w:val="single" w:sz="4" w:space="0" w:color="auto"/>
            </w:tcBorders>
            <w:shd w:val="clear" w:color="auto" w:fill="auto"/>
            <w:vAlign w:val="center"/>
          </w:tcPr>
          <w:p w:rsidR="00BF34B6" w:rsidRPr="00677F83" w:rsidRDefault="00BF34B6" w:rsidP="001F0251">
            <w:pPr>
              <w:adjustRightInd w:val="0"/>
              <w:snapToGrid w:val="0"/>
              <w:ind w:firstLineChars="0" w:firstLine="0"/>
              <w:rPr>
                <w:rFonts w:eastAsia="MS PGothic"/>
                <w:i/>
                <w:sz w:val="18"/>
                <w:szCs w:val="18"/>
              </w:rPr>
            </w:pPr>
            <w:r w:rsidRPr="00677F83">
              <w:rPr>
                <w:rFonts w:eastAsia="MS PGothic"/>
                <w:i/>
                <w:sz w:val="18"/>
                <w:szCs w:val="18"/>
              </w:rPr>
              <w:t>z</w:t>
            </w:r>
          </w:p>
        </w:tc>
        <w:tc>
          <w:tcPr>
            <w:tcW w:w="155" w:type="dxa"/>
            <w:tcBorders>
              <w:top w:val="nil"/>
              <w:bottom w:val="single" w:sz="4" w:space="0" w:color="auto"/>
            </w:tcBorders>
            <w:shd w:val="clear" w:color="auto" w:fill="auto"/>
            <w:vAlign w:val="center"/>
          </w:tcPr>
          <w:p w:rsidR="00BF34B6" w:rsidRPr="00D51C66" w:rsidRDefault="00BF34B6" w:rsidP="001F0251">
            <w:pPr>
              <w:adjustRightInd w:val="0"/>
              <w:snapToGrid w:val="0"/>
              <w:ind w:firstLineChars="0" w:firstLine="0"/>
              <w:cnfStyle w:val="000000100000"/>
              <w:rPr>
                <w:rFonts w:eastAsia="MS PGothic"/>
                <w:sz w:val="18"/>
                <w:szCs w:val="18"/>
              </w:rPr>
            </w:pPr>
          </w:p>
        </w:tc>
        <w:tc>
          <w:tcPr>
            <w:cnfStyle w:val="000010000000"/>
            <w:tcW w:w="839" w:type="dxa"/>
            <w:tcBorders>
              <w:top w:val="single" w:sz="4" w:space="0" w:color="000000" w:themeColor="text1"/>
              <w:bottom w:val="single" w:sz="4" w:space="0" w:color="auto"/>
            </w:tcBorders>
            <w:shd w:val="clear" w:color="auto" w:fill="auto"/>
            <w:vAlign w:val="center"/>
          </w:tcPr>
          <w:p w:rsidR="00BF34B6" w:rsidRPr="00D51C66" w:rsidRDefault="00BF34B6" w:rsidP="001F0251">
            <w:pPr>
              <w:adjustRightInd w:val="0"/>
              <w:snapToGrid w:val="0"/>
              <w:ind w:firstLineChars="0" w:firstLine="0"/>
              <w:rPr>
                <w:rFonts w:eastAsia="MS PGothic"/>
                <w:sz w:val="18"/>
                <w:szCs w:val="18"/>
              </w:rPr>
            </w:pPr>
            <w:r w:rsidRPr="00D51C66">
              <w:rPr>
                <w:rFonts w:eastAsia="MS PGothic"/>
                <w:sz w:val="18"/>
                <w:szCs w:val="18"/>
              </w:rPr>
              <w:t>Coef.</w:t>
            </w:r>
          </w:p>
        </w:tc>
        <w:tc>
          <w:tcPr>
            <w:tcW w:w="840" w:type="dxa"/>
            <w:tcBorders>
              <w:top w:val="single" w:sz="4" w:space="0" w:color="000000" w:themeColor="text1"/>
              <w:bottom w:val="single" w:sz="4" w:space="0" w:color="auto"/>
            </w:tcBorders>
            <w:shd w:val="clear" w:color="auto" w:fill="auto"/>
            <w:vAlign w:val="center"/>
          </w:tcPr>
          <w:p w:rsidR="00BF34B6" w:rsidRPr="00677F83" w:rsidRDefault="00BF34B6" w:rsidP="001F0251">
            <w:pPr>
              <w:adjustRightInd w:val="0"/>
              <w:snapToGrid w:val="0"/>
              <w:ind w:firstLineChars="0" w:firstLine="0"/>
              <w:cnfStyle w:val="000000100000"/>
              <w:rPr>
                <w:rFonts w:eastAsia="MS PGothic"/>
                <w:i/>
                <w:sz w:val="18"/>
                <w:szCs w:val="18"/>
              </w:rPr>
            </w:pPr>
            <w:r w:rsidRPr="00677F83">
              <w:rPr>
                <w:rFonts w:eastAsia="MS PGothic"/>
                <w:i/>
                <w:sz w:val="18"/>
                <w:szCs w:val="18"/>
              </w:rPr>
              <w:t>z</w:t>
            </w:r>
          </w:p>
        </w:tc>
        <w:tc>
          <w:tcPr>
            <w:cnfStyle w:val="000010000000"/>
            <w:tcW w:w="164" w:type="dxa"/>
            <w:tcBorders>
              <w:top w:val="nil"/>
              <w:bottom w:val="single" w:sz="4" w:space="0" w:color="auto"/>
            </w:tcBorders>
            <w:shd w:val="clear" w:color="auto" w:fill="auto"/>
            <w:vAlign w:val="center"/>
          </w:tcPr>
          <w:p w:rsidR="00BF34B6" w:rsidRPr="00D51C66" w:rsidRDefault="00BF34B6" w:rsidP="001F0251">
            <w:pPr>
              <w:adjustRightInd w:val="0"/>
              <w:snapToGrid w:val="0"/>
              <w:ind w:firstLineChars="0" w:firstLine="0"/>
              <w:rPr>
                <w:rFonts w:eastAsia="MS PGothic"/>
                <w:sz w:val="18"/>
                <w:szCs w:val="18"/>
              </w:rPr>
            </w:pPr>
          </w:p>
        </w:tc>
        <w:tc>
          <w:tcPr>
            <w:tcW w:w="850" w:type="dxa"/>
            <w:tcBorders>
              <w:top w:val="single" w:sz="4" w:space="0" w:color="000000" w:themeColor="text1"/>
              <w:bottom w:val="single" w:sz="4" w:space="0" w:color="auto"/>
            </w:tcBorders>
            <w:shd w:val="clear" w:color="auto" w:fill="auto"/>
            <w:vAlign w:val="center"/>
          </w:tcPr>
          <w:p w:rsidR="00BF34B6" w:rsidRPr="00D51C66" w:rsidRDefault="00BF34B6" w:rsidP="001F0251">
            <w:pPr>
              <w:adjustRightInd w:val="0"/>
              <w:snapToGrid w:val="0"/>
              <w:ind w:firstLineChars="0" w:firstLine="0"/>
              <w:cnfStyle w:val="000000100000"/>
              <w:rPr>
                <w:rFonts w:eastAsia="MS PGothic"/>
                <w:sz w:val="18"/>
                <w:szCs w:val="18"/>
              </w:rPr>
            </w:pPr>
            <w:r w:rsidRPr="00D51C66">
              <w:rPr>
                <w:rFonts w:eastAsia="MS PGothic"/>
                <w:sz w:val="18"/>
                <w:szCs w:val="18"/>
              </w:rPr>
              <w:t>Coef.</w:t>
            </w:r>
          </w:p>
        </w:tc>
        <w:tc>
          <w:tcPr>
            <w:cnfStyle w:val="000010000000"/>
            <w:tcW w:w="851" w:type="dxa"/>
            <w:tcBorders>
              <w:top w:val="single" w:sz="4" w:space="0" w:color="000000" w:themeColor="text1"/>
              <w:bottom w:val="single" w:sz="4" w:space="0" w:color="auto"/>
            </w:tcBorders>
            <w:shd w:val="clear" w:color="auto" w:fill="auto"/>
            <w:vAlign w:val="center"/>
          </w:tcPr>
          <w:p w:rsidR="00BF34B6" w:rsidRPr="00677F83" w:rsidRDefault="00BF34B6" w:rsidP="001F0251">
            <w:pPr>
              <w:adjustRightInd w:val="0"/>
              <w:snapToGrid w:val="0"/>
              <w:ind w:firstLineChars="0" w:firstLine="0"/>
              <w:rPr>
                <w:rFonts w:eastAsia="MS PGothic"/>
                <w:i/>
                <w:sz w:val="18"/>
                <w:szCs w:val="18"/>
              </w:rPr>
            </w:pPr>
            <w:r w:rsidRPr="00677F83">
              <w:rPr>
                <w:rFonts w:eastAsia="MS PGothic"/>
                <w:i/>
                <w:sz w:val="18"/>
                <w:szCs w:val="18"/>
              </w:rPr>
              <w:t>z</w:t>
            </w:r>
          </w:p>
        </w:tc>
        <w:tc>
          <w:tcPr>
            <w:tcW w:w="142" w:type="dxa"/>
            <w:tcBorders>
              <w:top w:val="nil"/>
              <w:bottom w:val="single" w:sz="4" w:space="0" w:color="auto"/>
            </w:tcBorders>
            <w:shd w:val="clear" w:color="auto" w:fill="auto"/>
            <w:vAlign w:val="center"/>
          </w:tcPr>
          <w:p w:rsidR="00BF34B6" w:rsidRPr="00D51C66" w:rsidRDefault="00BF34B6" w:rsidP="001F0251">
            <w:pPr>
              <w:adjustRightInd w:val="0"/>
              <w:snapToGrid w:val="0"/>
              <w:ind w:firstLineChars="0" w:firstLine="0"/>
              <w:cnfStyle w:val="000000100000"/>
              <w:rPr>
                <w:rFonts w:eastAsia="MS PGothic"/>
                <w:sz w:val="18"/>
                <w:szCs w:val="18"/>
              </w:rPr>
            </w:pPr>
          </w:p>
        </w:tc>
        <w:tc>
          <w:tcPr>
            <w:cnfStyle w:val="000010000000"/>
            <w:tcW w:w="819" w:type="dxa"/>
            <w:tcBorders>
              <w:top w:val="single" w:sz="4" w:space="0" w:color="000000" w:themeColor="text1"/>
              <w:bottom w:val="single" w:sz="4" w:space="0" w:color="auto"/>
            </w:tcBorders>
            <w:shd w:val="clear" w:color="auto" w:fill="auto"/>
            <w:vAlign w:val="center"/>
          </w:tcPr>
          <w:p w:rsidR="00BF34B6" w:rsidRPr="00D51C66" w:rsidRDefault="00BF34B6" w:rsidP="001F0251">
            <w:pPr>
              <w:adjustRightInd w:val="0"/>
              <w:snapToGrid w:val="0"/>
              <w:ind w:firstLineChars="0" w:firstLine="0"/>
              <w:rPr>
                <w:rFonts w:eastAsia="MS PGothic"/>
                <w:sz w:val="18"/>
                <w:szCs w:val="18"/>
              </w:rPr>
            </w:pPr>
            <w:r w:rsidRPr="00D51C66">
              <w:rPr>
                <w:rFonts w:eastAsia="MS PGothic"/>
                <w:sz w:val="18"/>
                <w:szCs w:val="18"/>
              </w:rPr>
              <w:t>Coef.</w:t>
            </w:r>
          </w:p>
        </w:tc>
        <w:tc>
          <w:tcPr>
            <w:tcW w:w="820" w:type="dxa"/>
            <w:tcBorders>
              <w:top w:val="single" w:sz="4" w:space="0" w:color="000000" w:themeColor="text1"/>
              <w:bottom w:val="single" w:sz="4" w:space="0" w:color="auto"/>
            </w:tcBorders>
            <w:shd w:val="clear" w:color="auto" w:fill="auto"/>
            <w:vAlign w:val="center"/>
          </w:tcPr>
          <w:p w:rsidR="00BF34B6" w:rsidRPr="00677F83" w:rsidRDefault="00BF34B6" w:rsidP="001F0251">
            <w:pPr>
              <w:adjustRightInd w:val="0"/>
              <w:snapToGrid w:val="0"/>
              <w:ind w:firstLineChars="0" w:firstLine="0"/>
              <w:cnfStyle w:val="000000100000"/>
              <w:rPr>
                <w:rFonts w:eastAsia="MS PGothic"/>
                <w:i/>
                <w:sz w:val="18"/>
                <w:szCs w:val="18"/>
              </w:rPr>
            </w:pPr>
            <w:r w:rsidRPr="00677F83">
              <w:rPr>
                <w:rFonts w:eastAsia="MS PGothic"/>
                <w:i/>
                <w:sz w:val="18"/>
                <w:szCs w:val="18"/>
              </w:rPr>
              <w:t>z</w:t>
            </w:r>
          </w:p>
        </w:tc>
      </w:tr>
      <w:tr w:rsidR="00BF34B6" w:rsidRPr="00D51C66" w:rsidTr="00BF34B6">
        <w:trPr>
          <w:trHeight w:val="255"/>
          <w:jc w:val="center"/>
        </w:trPr>
        <w:tc>
          <w:tcPr>
            <w:cnfStyle w:val="001000000000"/>
            <w:tcW w:w="1300" w:type="dxa"/>
            <w:tcBorders>
              <w:top w:val="single" w:sz="4" w:space="0" w:color="auto"/>
              <w:bottom w:val="nil"/>
              <w:right w:val="nil"/>
            </w:tcBorders>
            <w:shd w:val="clear" w:color="auto" w:fill="auto"/>
            <w:vAlign w:val="center"/>
          </w:tcPr>
          <w:p w:rsidR="00BF34B6" w:rsidRPr="00D51C66" w:rsidRDefault="00BF34B6" w:rsidP="001F0251">
            <w:pPr>
              <w:adjustRightInd w:val="0"/>
              <w:snapToGrid w:val="0"/>
              <w:ind w:firstLineChars="0" w:firstLine="0"/>
              <w:rPr>
                <w:rFonts w:eastAsia="MS PGothic"/>
                <w:b w:val="0"/>
                <w:sz w:val="18"/>
                <w:szCs w:val="18"/>
              </w:rPr>
            </w:pPr>
            <w:r w:rsidRPr="00D51C66">
              <w:rPr>
                <w:rFonts w:eastAsia="MS PGothic"/>
                <w:b w:val="0"/>
                <w:sz w:val="18"/>
                <w:szCs w:val="18"/>
              </w:rPr>
              <w:t>ln_</w:t>
            </w:r>
            <w:r w:rsidRPr="00C968F8">
              <w:rPr>
                <w:rFonts w:eastAsiaTheme="minorEastAsia" w:hint="eastAsia"/>
                <w:b w:val="0"/>
                <w:i/>
                <w:sz w:val="18"/>
                <w:szCs w:val="18"/>
                <w:lang w:eastAsia="zh-CN"/>
              </w:rPr>
              <w:t>S</w:t>
            </w:r>
            <w:r w:rsidRPr="00C968F8">
              <w:rPr>
                <w:rFonts w:eastAsia="MS PGothic"/>
                <w:b w:val="0"/>
                <w:i/>
                <w:sz w:val="18"/>
                <w:szCs w:val="18"/>
              </w:rPr>
              <w:t>ubsidiary</w:t>
            </w:r>
          </w:p>
        </w:tc>
        <w:tc>
          <w:tcPr>
            <w:cnfStyle w:val="000010000000"/>
            <w:tcW w:w="874" w:type="dxa"/>
            <w:tcBorders>
              <w:top w:val="single" w:sz="4" w:space="0" w:color="auto"/>
            </w:tcBorders>
            <w:shd w:val="clear" w:color="auto" w:fill="auto"/>
            <w:vAlign w:val="center"/>
          </w:tcPr>
          <w:p w:rsidR="00BF34B6" w:rsidRPr="00BF34B6" w:rsidRDefault="006072A1" w:rsidP="001F0251">
            <w:pPr>
              <w:adjustRightInd w:val="0"/>
              <w:snapToGrid w:val="0"/>
              <w:ind w:firstLineChars="0" w:firstLine="0"/>
              <w:rPr>
                <w:rFonts w:eastAsiaTheme="minorEastAsia"/>
                <w:sz w:val="18"/>
                <w:szCs w:val="18"/>
                <w:lang w:eastAsia="zh-CN"/>
              </w:rPr>
            </w:pPr>
            <w:r>
              <w:rPr>
                <w:rFonts w:eastAsiaTheme="minorEastAsia" w:hint="eastAsia"/>
                <w:sz w:val="18"/>
                <w:szCs w:val="18"/>
                <w:lang w:eastAsia="zh-CN"/>
              </w:rPr>
              <w:t>-</w:t>
            </w:r>
          </w:p>
        </w:tc>
        <w:tc>
          <w:tcPr>
            <w:tcW w:w="903" w:type="dxa"/>
            <w:tcBorders>
              <w:top w:val="single" w:sz="4" w:space="0" w:color="auto"/>
              <w:left w:val="nil"/>
              <w:bottom w:val="nil"/>
              <w:right w:val="nil"/>
            </w:tcBorders>
            <w:shd w:val="clear" w:color="auto" w:fill="auto"/>
            <w:vAlign w:val="center"/>
          </w:tcPr>
          <w:p w:rsidR="00BF34B6" w:rsidRPr="00D51C66" w:rsidRDefault="00BF34B6" w:rsidP="001F0251">
            <w:pPr>
              <w:tabs>
                <w:tab w:val="decimal" w:pos="272"/>
              </w:tabs>
              <w:adjustRightInd w:val="0"/>
              <w:snapToGrid w:val="0"/>
              <w:ind w:firstLineChars="0" w:firstLine="0"/>
              <w:cnfStyle w:val="000000000000"/>
              <w:rPr>
                <w:rFonts w:eastAsia="MS PGothic"/>
                <w:sz w:val="18"/>
                <w:szCs w:val="18"/>
              </w:rPr>
            </w:pPr>
            <w:r w:rsidRPr="00D51C66">
              <w:rPr>
                <w:rFonts w:eastAsia="MS PGothic"/>
                <w:sz w:val="18"/>
                <w:szCs w:val="18"/>
              </w:rPr>
              <w:t>-0.663</w:t>
            </w:r>
          </w:p>
        </w:tc>
        <w:tc>
          <w:tcPr>
            <w:cnfStyle w:val="000010000000"/>
            <w:tcW w:w="903" w:type="dxa"/>
            <w:tcBorders>
              <w:top w:val="single" w:sz="4" w:space="0" w:color="auto"/>
            </w:tcBorders>
            <w:shd w:val="clear" w:color="auto" w:fill="auto"/>
            <w:vAlign w:val="center"/>
          </w:tcPr>
          <w:p w:rsidR="00BF34B6" w:rsidRPr="00677F83" w:rsidRDefault="00BF34B6" w:rsidP="001F0251">
            <w:pPr>
              <w:tabs>
                <w:tab w:val="decimal" w:pos="170"/>
              </w:tabs>
              <w:adjustRightInd w:val="0"/>
              <w:snapToGrid w:val="0"/>
              <w:ind w:firstLineChars="0" w:firstLine="0"/>
              <w:rPr>
                <w:rFonts w:eastAsiaTheme="minorEastAsia"/>
                <w:sz w:val="18"/>
                <w:szCs w:val="18"/>
                <w:lang w:eastAsia="zh-CN"/>
              </w:rPr>
            </w:pPr>
            <w:r w:rsidRPr="00677F83">
              <w:rPr>
                <w:rFonts w:eastAsiaTheme="minorEastAsia"/>
                <w:sz w:val="18"/>
                <w:szCs w:val="18"/>
              </w:rPr>
              <w:t>-1.1</w:t>
            </w:r>
            <w:r w:rsidR="00FD3DF3">
              <w:rPr>
                <w:rFonts w:eastAsiaTheme="minorEastAsia" w:hint="eastAsia"/>
                <w:sz w:val="18"/>
                <w:szCs w:val="18"/>
                <w:lang w:eastAsia="zh-CN"/>
              </w:rPr>
              <w:t>0</w:t>
            </w:r>
          </w:p>
        </w:tc>
        <w:tc>
          <w:tcPr>
            <w:tcW w:w="155" w:type="dxa"/>
            <w:tcBorders>
              <w:top w:val="single" w:sz="4" w:space="0" w:color="auto"/>
              <w:left w:val="nil"/>
              <w:bottom w:val="nil"/>
              <w:right w:val="nil"/>
            </w:tcBorders>
            <w:shd w:val="clear" w:color="auto" w:fill="auto"/>
            <w:vAlign w:val="center"/>
          </w:tcPr>
          <w:p w:rsidR="00BF34B6" w:rsidRPr="00D51C66" w:rsidRDefault="00BF34B6" w:rsidP="001F0251">
            <w:pPr>
              <w:adjustRightInd w:val="0"/>
              <w:snapToGrid w:val="0"/>
              <w:ind w:firstLineChars="0" w:firstLine="0"/>
              <w:cnfStyle w:val="000000000000"/>
              <w:rPr>
                <w:rFonts w:eastAsia="MS PGothic"/>
                <w:sz w:val="18"/>
                <w:szCs w:val="18"/>
              </w:rPr>
            </w:pPr>
          </w:p>
        </w:tc>
        <w:tc>
          <w:tcPr>
            <w:cnfStyle w:val="000010000000"/>
            <w:tcW w:w="839" w:type="dxa"/>
            <w:tcBorders>
              <w:top w:val="single" w:sz="4" w:space="0" w:color="auto"/>
            </w:tcBorders>
            <w:shd w:val="clear" w:color="auto" w:fill="auto"/>
            <w:vAlign w:val="center"/>
          </w:tcPr>
          <w:p w:rsidR="00BF34B6" w:rsidRPr="00D51C66" w:rsidRDefault="00BF34B6" w:rsidP="001F0251">
            <w:pPr>
              <w:tabs>
                <w:tab w:val="decimal" w:pos="272"/>
              </w:tabs>
              <w:adjustRightInd w:val="0"/>
              <w:snapToGrid w:val="0"/>
              <w:ind w:firstLineChars="0" w:firstLine="0"/>
              <w:rPr>
                <w:rFonts w:eastAsia="MS PGothic"/>
                <w:sz w:val="18"/>
                <w:szCs w:val="18"/>
              </w:rPr>
            </w:pPr>
            <w:r w:rsidRPr="00D51C66">
              <w:rPr>
                <w:rFonts w:eastAsia="MS PGothic"/>
                <w:sz w:val="18"/>
                <w:szCs w:val="18"/>
              </w:rPr>
              <w:t>-0.415</w:t>
            </w:r>
          </w:p>
        </w:tc>
        <w:tc>
          <w:tcPr>
            <w:tcW w:w="840" w:type="dxa"/>
            <w:tcBorders>
              <w:top w:val="single" w:sz="4" w:space="0" w:color="auto"/>
              <w:left w:val="nil"/>
              <w:bottom w:val="nil"/>
              <w:right w:val="nil"/>
            </w:tcBorders>
            <w:shd w:val="clear" w:color="auto" w:fill="auto"/>
            <w:vAlign w:val="center"/>
          </w:tcPr>
          <w:p w:rsidR="00BF34B6" w:rsidRPr="00677F83" w:rsidRDefault="00BF34B6" w:rsidP="001F0251">
            <w:pPr>
              <w:tabs>
                <w:tab w:val="decimal" w:pos="170"/>
              </w:tabs>
              <w:adjustRightInd w:val="0"/>
              <w:snapToGrid w:val="0"/>
              <w:ind w:firstLineChars="0" w:firstLine="0"/>
              <w:cnfStyle w:val="000000000000"/>
              <w:rPr>
                <w:rFonts w:eastAsiaTheme="minorEastAsia"/>
                <w:sz w:val="18"/>
                <w:szCs w:val="18"/>
              </w:rPr>
            </w:pPr>
            <w:r w:rsidRPr="00677F83">
              <w:rPr>
                <w:rFonts w:eastAsiaTheme="minorEastAsia"/>
                <w:sz w:val="18"/>
                <w:szCs w:val="18"/>
              </w:rPr>
              <w:t>-0.66</w:t>
            </w:r>
          </w:p>
        </w:tc>
        <w:tc>
          <w:tcPr>
            <w:cnfStyle w:val="000010000000"/>
            <w:tcW w:w="164" w:type="dxa"/>
            <w:tcBorders>
              <w:top w:val="single" w:sz="4" w:space="0" w:color="auto"/>
            </w:tcBorders>
            <w:shd w:val="clear" w:color="auto" w:fill="auto"/>
            <w:vAlign w:val="center"/>
          </w:tcPr>
          <w:p w:rsidR="00BF34B6" w:rsidRPr="00D51C66" w:rsidRDefault="00BF34B6" w:rsidP="001F0251">
            <w:pPr>
              <w:adjustRightInd w:val="0"/>
              <w:snapToGrid w:val="0"/>
              <w:ind w:firstLineChars="0" w:firstLine="0"/>
              <w:rPr>
                <w:rFonts w:eastAsia="MS PGothic"/>
                <w:sz w:val="18"/>
                <w:szCs w:val="18"/>
              </w:rPr>
            </w:pPr>
          </w:p>
        </w:tc>
        <w:tc>
          <w:tcPr>
            <w:tcW w:w="850" w:type="dxa"/>
            <w:tcBorders>
              <w:top w:val="single" w:sz="4" w:space="0" w:color="auto"/>
              <w:left w:val="nil"/>
              <w:bottom w:val="nil"/>
              <w:right w:val="nil"/>
            </w:tcBorders>
            <w:shd w:val="clear" w:color="auto" w:fill="auto"/>
            <w:vAlign w:val="center"/>
          </w:tcPr>
          <w:p w:rsidR="00BF34B6" w:rsidRPr="00D51C66" w:rsidRDefault="00BF34B6" w:rsidP="001F0251">
            <w:pPr>
              <w:tabs>
                <w:tab w:val="decimal" w:pos="272"/>
              </w:tabs>
              <w:adjustRightInd w:val="0"/>
              <w:snapToGrid w:val="0"/>
              <w:ind w:firstLineChars="0" w:firstLine="0"/>
              <w:cnfStyle w:val="000000000000"/>
              <w:rPr>
                <w:rFonts w:eastAsia="MS PGothic"/>
                <w:sz w:val="18"/>
                <w:szCs w:val="18"/>
              </w:rPr>
            </w:pPr>
            <w:r w:rsidRPr="00D51C66">
              <w:rPr>
                <w:rFonts w:eastAsia="MS PGothic"/>
                <w:sz w:val="18"/>
                <w:szCs w:val="18"/>
              </w:rPr>
              <w:t>-0.932</w:t>
            </w:r>
          </w:p>
        </w:tc>
        <w:tc>
          <w:tcPr>
            <w:cnfStyle w:val="000010000000"/>
            <w:tcW w:w="851" w:type="dxa"/>
            <w:tcBorders>
              <w:top w:val="single" w:sz="4" w:space="0" w:color="auto"/>
            </w:tcBorders>
            <w:shd w:val="clear" w:color="auto" w:fill="auto"/>
            <w:vAlign w:val="center"/>
          </w:tcPr>
          <w:p w:rsidR="00BF34B6" w:rsidRPr="00677F83" w:rsidRDefault="00BF34B6" w:rsidP="001F0251">
            <w:pPr>
              <w:tabs>
                <w:tab w:val="decimal" w:pos="170"/>
              </w:tabs>
              <w:adjustRightInd w:val="0"/>
              <w:snapToGrid w:val="0"/>
              <w:ind w:firstLineChars="0" w:firstLine="0"/>
              <w:rPr>
                <w:rFonts w:eastAsiaTheme="minorEastAsia"/>
                <w:sz w:val="18"/>
                <w:szCs w:val="18"/>
              </w:rPr>
            </w:pPr>
            <w:r w:rsidRPr="00677F83">
              <w:rPr>
                <w:rFonts w:eastAsiaTheme="minorEastAsia"/>
                <w:sz w:val="18"/>
                <w:szCs w:val="18"/>
              </w:rPr>
              <w:t>-1.45</w:t>
            </w:r>
          </w:p>
        </w:tc>
        <w:tc>
          <w:tcPr>
            <w:tcW w:w="142" w:type="dxa"/>
            <w:tcBorders>
              <w:top w:val="single" w:sz="4" w:space="0" w:color="auto"/>
              <w:left w:val="nil"/>
              <w:bottom w:val="nil"/>
              <w:right w:val="nil"/>
            </w:tcBorders>
            <w:shd w:val="clear" w:color="auto" w:fill="auto"/>
            <w:vAlign w:val="center"/>
          </w:tcPr>
          <w:p w:rsidR="00BF34B6" w:rsidRPr="00D51C66" w:rsidRDefault="00BF34B6" w:rsidP="001F0251">
            <w:pPr>
              <w:adjustRightInd w:val="0"/>
              <w:snapToGrid w:val="0"/>
              <w:ind w:firstLineChars="0" w:firstLine="0"/>
              <w:cnfStyle w:val="000000000000"/>
              <w:rPr>
                <w:rFonts w:eastAsia="MS PGothic"/>
                <w:sz w:val="18"/>
                <w:szCs w:val="18"/>
              </w:rPr>
            </w:pPr>
          </w:p>
        </w:tc>
        <w:tc>
          <w:tcPr>
            <w:cnfStyle w:val="000010000000"/>
            <w:tcW w:w="819" w:type="dxa"/>
            <w:tcBorders>
              <w:top w:val="single" w:sz="4" w:space="0" w:color="auto"/>
            </w:tcBorders>
            <w:shd w:val="clear" w:color="auto" w:fill="auto"/>
            <w:vAlign w:val="center"/>
          </w:tcPr>
          <w:p w:rsidR="00BF34B6" w:rsidRPr="00677F83" w:rsidRDefault="00BF34B6" w:rsidP="001F0251">
            <w:pPr>
              <w:tabs>
                <w:tab w:val="decimal" w:pos="244"/>
              </w:tabs>
              <w:adjustRightInd w:val="0"/>
              <w:snapToGrid w:val="0"/>
              <w:ind w:firstLineChars="0" w:firstLine="0"/>
              <w:rPr>
                <w:rFonts w:eastAsia="MS PGothic"/>
                <w:sz w:val="18"/>
                <w:szCs w:val="18"/>
              </w:rPr>
            </w:pPr>
            <w:r w:rsidRPr="00677F83">
              <w:rPr>
                <w:rFonts w:eastAsia="MS PGothic"/>
                <w:sz w:val="18"/>
                <w:szCs w:val="18"/>
              </w:rPr>
              <w:t>-1.073</w:t>
            </w:r>
          </w:p>
        </w:tc>
        <w:tc>
          <w:tcPr>
            <w:tcW w:w="820" w:type="dxa"/>
            <w:tcBorders>
              <w:top w:val="single" w:sz="4" w:space="0" w:color="auto"/>
              <w:left w:val="nil"/>
              <w:bottom w:val="nil"/>
            </w:tcBorders>
            <w:shd w:val="clear" w:color="auto" w:fill="auto"/>
            <w:vAlign w:val="center"/>
          </w:tcPr>
          <w:p w:rsidR="00BF34B6" w:rsidRPr="00677F83" w:rsidRDefault="00BF34B6" w:rsidP="001F0251">
            <w:pPr>
              <w:tabs>
                <w:tab w:val="decimal" w:pos="170"/>
              </w:tabs>
              <w:adjustRightInd w:val="0"/>
              <w:snapToGrid w:val="0"/>
              <w:ind w:firstLineChars="0" w:firstLine="0"/>
              <w:cnfStyle w:val="000000000000"/>
              <w:rPr>
                <w:rFonts w:eastAsiaTheme="minorEastAsia"/>
                <w:sz w:val="18"/>
                <w:szCs w:val="18"/>
                <w:lang w:eastAsia="zh-CN"/>
              </w:rPr>
            </w:pPr>
            <w:r w:rsidRPr="00677F83">
              <w:rPr>
                <w:rFonts w:eastAsiaTheme="minorEastAsia"/>
                <w:sz w:val="18"/>
                <w:szCs w:val="18"/>
              </w:rPr>
              <w:t>-2.04</w:t>
            </w:r>
            <w:r w:rsidR="00677F83" w:rsidRPr="00677F83">
              <w:rPr>
                <w:rFonts w:eastAsiaTheme="minorEastAsia"/>
                <w:sz w:val="18"/>
                <w:szCs w:val="18"/>
                <w:vertAlign w:val="superscript"/>
              </w:rPr>
              <w:t>**</w:t>
            </w:r>
          </w:p>
        </w:tc>
      </w:tr>
      <w:tr w:rsidR="00BF34B6" w:rsidRPr="00D51C66" w:rsidTr="00BF34B6">
        <w:trPr>
          <w:cnfStyle w:val="000000100000"/>
          <w:trHeight w:val="255"/>
          <w:jc w:val="center"/>
        </w:trPr>
        <w:tc>
          <w:tcPr>
            <w:cnfStyle w:val="001000000000"/>
            <w:tcW w:w="1300" w:type="dxa"/>
            <w:tcBorders>
              <w:top w:val="nil"/>
            </w:tcBorders>
            <w:shd w:val="clear" w:color="auto" w:fill="auto"/>
            <w:vAlign w:val="center"/>
          </w:tcPr>
          <w:p w:rsidR="00BF34B6" w:rsidRPr="00C968F8" w:rsidRDefault="00BF34B6" w:rsidP="001F0251">
            <w:pPr>
              <w:adjustRightInd w:val="0"/>
              <w:snapToGrid w:val="0"/>
              <w:ind w:firstLineChars="0" w:firstLine="0"/>
              <w:rPr>
                <w:rFonts w:eastAsia="MS PGothic"/>
                <w:b w:val="0"/>
                <w:i/>
                <w:sz w:val="18"/>
                <w:szCs w:val="18"/>
              </w:rPr>
            </w:pPr>
            <w:r w:rsidRPr="00C968F8">
              <w:rPr>
                <w:rFonts w:eastAsia="MS PGothic"/>
                <w:b w:val="0"/>
                <w:i/>
                <w:sz w:val="18"/>
                <w:szCs w:val="18"/>
              </w:rPr>
              <w:t>Foreignsales</w:t>
            </w:r>
          </w:p>
        </w:tc>
        <w:tc>
          <w:tcPr>
            <w:cnfStyle w:val="000010000000"/>
            <w:tcW w:w="874" w:type="dxa"/>
            <w:tcBorders>
              <w:top w:val="nil"/>
            </w:tcBorders>
            <w:shd w:val="clear" w:color="auto" w:fill="auto"/>
            <w:vAlign w:val="center"/>
          </w:tcPr>
          <w:p w:rsidR="00BF34B6" w:rsidRPr="00BF34B6" w:rsidRDefault="00BF34B6" w:rsidP="001F0251">
            <w:pPr>
              <w:adjustRightInd w:val="0"/>
              <w:snapToGrid w:val="0"/>
              <w:ind w:firstLineChars="0" w:firstLine="0"/>
              <w:rPr>
                <w:rFonts w:eastAsiaTheme="minorEastAsia"/>
                <w:sz w:val="18"/>
                <w:szCs w:val="18"/>
                <w:lang w:eastAsia="zh-CN"/>
              </w:rPr>
            </w:pPr>
            <w:r>
              <w:rPr>
                <w:rFonts w:eastAsia="MS PGothic"/>
                <w:sz w:val="18"/>
                <w:szCs w:val="18"/>
              </w:rPr>
              <w:t>+/</w:t>
            </w:r>
            <w:r w:rsidR="006072A1">
              <w:rPr>
                <w:rFonts w:eastAsiaTheme="minorEastAsia" w:hint="eastAsia"/>
                <w:sz w:val="18"/>
                <w:szCs w:val="18"/>
                <w:lang w:eastAsia="zh-CN"/>
              </w:rPr>
              <w:t>-</w:t>
            </w:r>
          </w:p>
        </w:tc>
        <w:tc>
          <w:tcPr>
            <w:tcW w:w="903" w:type="dxa"/>
            <w:tcBorders>
              <w:top w:val="nil"/>
            </w:tcBorders>
            <w:shd w:val="clear" w:color="auto" w:fill="auto"/>
            <w:vAlign w:val="center"/>
          </w:tcPr>
          <w:p w:rsidR="00BF34B6" w:rsidRPr="00D51C66" w:rsidRDefault="00BF34B6" w:rsidP="001F0251">
            <w:pPr>
              <w:tabs>
                <w:tab w:val="decimal" w:pos="272"/>
              </w:tabs>
              <w:adjustRightInd w:val="0"/>
              <w:snapToGrid w:val="0"/>
              <w:ind w:firstLineChars="0" w:firstLine="0"/>
              <w:cnfStyle w:val="000000100000"/>
              <w:rPr>
                <w:rFonts w:eastAsia="MS PGothic"/>
                <w:sz w:val="18"/>
                <w:szCs w:val="18"/>
              </w:rPr>
            </w:pPr>
            <w:r w:rsidRPr="00D51C66">
              <w:rPr>
                <w:rFonts w:eastAsia="MS PGothic"/>
                <w:sz w:val="18"/>
                <w:szCs w:val="18"/>
              </w:rPr>
              <w:t>4.078</w:t>
            </w:r>
          </w:p>
        </w:tc>
        <w:tc>
          <w:tcPr>
            <w:cnfStyle w:val="000010000000"/>
            <w:tcW w:w="903" w:type="dxa"/>
            <w:tcBorders>
              <w:top w:val="nil"/>
            </w:tcBorders>
            <w:shd w:val="clear" w:color="auto" w:fill="auto"/>
            <w:vAlign w:val="center"/>
          </w:tcPr>
          <w:p w:rsidR="00BF34B6" w:rsidRPr="00677F83" w:rsidRDefault="00BF34B6" w:rsidP="001F0251">
            <w:pPr>
              <w:tabs>
                <w:tab w:val="decimal" w:pos="170"/>
              </w:tabs>
              <w:adjustRightInd w:val="0"/>
              <w:snapToGrid w:val="0"/>
              <w:ind w:firstLineChars="0" w:firstLine="0"/>
              <w:rPr>
                <w:rFonts w:eastAsiaTheme="minorEastAsia"/>
                <w:sz w:val="18"/>
                <w:szCs w:val="18"/>
                <w:lang w:eastAsia="zh-CN"/>
              </w:rPr>
            </w:pPr>
            <w:r w:rsidRPr="00677F83">
              <w:rPr>
                <w:rFonts w:eastAsiaTheme="minorEastAsia"/>
                <w:sz w:val="18"/>
                <w:szCs w:val="18"/>
              </w:rPr>
              <w:t>2.3</w:t>
            </w:r>
            <w:r w:rsidR="00FD3DF3">
              <w:rPr>
                <w:rFonts w:eastAsiaTheme="minorEastAsia" w:hint="eastAsia"/>
                <w:sz w:val="18"/>
                <w:szCs w:val="18"/>
                <w:lang w:eastAsia="zh-CN"/>
              </w:rPr>
              <w:t>0</w:t>
            </w:r>
            <w:r w:rsidR="00677F83" w:rsidRPr="00677F83">
              <w:rPr>
                <w:rFonts w:eastAsiaTheme="minorEastAsia"/>
                <w:sz w:val="18"/>
                <w:szCs w:val="18"/>
                <w:vertAlign w:val="superscript"/>
              </w:rPr>
              <w:t>**</w:t>
            </w:r>
          </w:p>
        </w:tc>
        <w:tc>
          <w:tcPr>
            <w:tcW w:w="155" w:type="dxa"/>
            <w:tcBorders>
              <w:top w:val="nil"/>
            </w:tcBorders>
            <w:shd w:val="clear" w:color="auto" w:fill="auto"/>
            <w:vAlign w:val="center"/>
          </w:tcPr>
          <w:p w:rsidR="00BF34B6" w:rsidRPr="00D51C66" w:rsidRDefault="00BF34B6" w:rsidP="001F0251">
            <w:pPr>
              <w:adjustRightInd w:val="0"/>
              <w:snapToGrid w:val="0"/>
              <w:ind w:firstLineChars="0" w:firstLine="0"/>
              <w:cnfStyle w:val="000000100000"/>
              <w:rPr>
                <w:rFonts w:eastAsia="MS PGothic"/>
                <w:sz w:val="18"/>
                <w:szCs w:val="18"/>
              </w:rPr>
            </w:pPr>
          </w:p>
        </w:tc>
        <w:tc>
          <w:tcPr>
            <w:cnfStyle w:val="000010000000"/>
            <w:tcW w:w="839" w:type="dxa"/>
            <w:tcBorders>
              <w:top w:val="nil"/>
            </w:tcBorders>
            <w:shd w:val="clear" w:color="auto" w:fill="auto"/>
            <w:vAlign w:val="center"/>
          </w:tcPr>
          <w:p w:rsidR="00BF34B6" w:rsidRPr="00D51C66" w:rsidRDefault="00BF34B6" w:rsidP="001F0251">
            <w:pPr>
              <w:tabs>
                <w:tab w:val="decimal" w:pos="272"/>
              </w:tabs>
              <w:adjustRightInd w:val="0"/>
              <w:snapToGrid w:val="0"/>
              <w:ind w:firstLineChars="0" w:firstLine="0"/>
              <w:rPr>
                <w:rFonts w:eastAsia="MS PGothic"/>
                <w:sz w:val="18"/>
                <w:szCs w:val="18"/>
              </w:rPr>
            </w:pPr>
            <w:r w:rsidRPr="00D51C66">
              <w:rPr>
                <w:rFonts w:eastAsia="MS PGothic"/>
                <w:sz w:val="18"/>
                <w:szCs w:val="18"/>
              </w:rPr>
              <w:t>2.644</w:t>
            </w:r>
          </w:p>
        </w:tc>
        <w:tc>
          <w:tcPr>
            <w:tcW w:w="840" w:type="dxa"/>
            <w:tcBorders>
              <w:top w:val="nil"/>
            </w:tcBorders>
            <w:shd w:val="clear" w:color="auto" w:fill="auto"/>
            <w:vAlign w:val="center"/>
          </w:tcPr>
          <w:p w:rsidR="00BF34B6" w:rsidRPr="00677F83" w:rsidRDefault="00BF34B6" w:rsidP="001F0251">
            <w:pPr>
              <w:tabs>
                <w:tab w:val="decimal" w:pos="170"/>
              </w:tabs>
              <w:adjustRightInd w:val="0"/>
              <w:snapToGrid w:val="0"/>
              <w:ind w:firstLineChars="0" w:firstLine="0"/>
              <w:cnfStyle w:val="000000100000"/>
              <w:rPr>
                <w:rFonts w:eastAsiaTheme="minorEastAsia"/>
                <w:sz w:val="18"/>
                <w:szCs w:val="18"/>
                <w:lang w:eastAsia="zh-CN"/>
              </w:rPr>
            </w:pPr>
            <w:r w:rsidRPr="00677F83">
              <w:rPr>
                <w:rFonts w:eastAsiaTheme="minorEastAsia"/>
                <w:sz w:val="18"/>
                <w:szCs w:val="18"/>
              </w:rPr>
              <w:t>1.78</w:t>
            </w:r>
            <w:r w:rsidR="00677F83" w:rsidRPr="00677F83">
              <w:rPr>
                <w:rFonts w:eastAsiaTheme="minorEastAsia"/>
                <w:sz w:val="18"/>
                <w:szCs w:val="18"/>
                <w:vertAlign w:val="superscript"/>
              </w:rPr>
              <w:t>*</w:t>
            </w:r>
          </w:p>
        </w:tc>
        <w:tc>
          <w:tcPr>
            <w:cnfStyle w:val="000010000000"/>
            <w:tcW w:w="164" w:type="dxa"/>
            <w:tcBorders>
              <w:top w:val="nil"/>
            </w:tcBorders>
            <w:shd w:val="clear" w:color="auto" w:fill="auto"/>
            <w:vAlign w:val="center"/>
          </w:tcPr>
          <w:p w:rsidR="00BF34B6" w:rsidRPr="00D51C66" w:rsidRDefault="00BF34B6" w:rsidP="001F0251">
            <w:pPr>
              <w:adjustRightInd w:val="0"/>
              <w:snapToGrid w:val="0"/>
              <w:ind w:firstLineChars="0" w:firstLine="0"/>
              <w:rPr>
                <w:rFonts w:eastAsia="MS PGothic"/>
                <w:sz w:val="18"/>
                <w:szCs w:val="18"/>
              </w:rPr>
            </w:pPr>
          </w:p>
        </w:tc>
        <w:tc>
          <w:tcPr>
            <w:tcW w:w="850" w:type="dxa"/>
            <w:tcBorders>
              <w:top w:val="nil"/>
            </w:tcBorders>
            <w:shd w:val="clear" w:color="auto" w:fill="auto"/>
            <w:vAlign w:val="center"/>
          </w:tcPr>
          <w:p w:rsidR="00BF34B6" w:rsidRPr="00677F83" w:rsidRDefault="00BF34B6" w:rsidP="001F0251">
            <w:pPr>
              <w:tabs>
                <w:tab w:val="decimal" w:pos="272"/>
              </w:tabs>
              <w:adjustRightInd w:val="0"/>
              <w:snapToGrid w:val="0"/>
              <w:ind w:firstLineChars="0" w:firstLine="0"/>
              <w:cnfStyle w:val="000000100000"/>
              <w:rPr>
                <w:rFonts w:eastAsiaTheme="minorEastAsia"/>
                <w:sz w:val="18"/>
                <w:szCs w:val="18"/>
                <w:lang w:eastAsia="zh-CN"/>
              </w:rPr>
            </w:pPr>
          </w:p>
        </w:tc>
        <w:tc>
          <w:tcPr>
            <w:cnfStyle w:val="000010000000"/>
            <w:tcW w:w="851" w:type="dxa"/>
            <w:tcBorders>
              <w:top w:val="nil"/>
            </w:tcBorders>
            <w:shd w:val="clear" w:color="auto" w:fill="auto"/>
            <w:vAlign w:val="center"/>
          </w:tcPr>
          <w:p w:rsidR="00BF34B6" w:rsidRPr="00677F83" w:rsidRDefault="00BF34B6" w:rsidP="001F0251">
            <w:pPr>
              <w:tabs>
                <w:tab w:val="decimal" w:pos="170"/>
              </w:tabs>
              <w:adjustRightInd w:val="0"/>
              <w:snapToGrid w:val="0"/>
              <w:ind w:firstLineChars="0" w:firstLine="0"/>
              <w:rPr>
                <w:rFonts w:eastAsiaTheme="minorEastAsia"/>
                <w:sz w:val="18"/>
                <w:szCs w:val="18"/>
                <w:lang w:eastAsia="zh-CN"/>
              </w:rPr>
            </w:pPr>
          </w:p>
        </w:tc>
        <w:tc>
          <w:tcPr>
            <w:tcW w:w="142" w:type="dxa"/>
            <w:tcBorders>
              <w:top w:val="nil"/>
            </w:tcBorders>
            <w:shd w:val="clear" w:color="auto" w:fill="auto"/>
            <w:vAlign w:val="center"/>
          </w:tcPr>
          <w:p w:rsidR="00BF34B6" w:rsidRPr="00D51C66" w:rsidRDefault="00BF34B6" w:rsidP="001F0251">
            <w:pPr>
              <w:adjustRightInd w:val="0"/>
              <w:snapToGrid w:val="0"/>
              <w:ind w:firstLineChars="0" w:firstLine="0"/>
              <w:cnfStyle w:val="000000100000"/>
              <w:rPr>
                <w:rFonts w:eastAsia="MS PGothic"/>
                <w:sz w:val="18"/>
                <w:szCs w:val="18"/>
              </w:rPr>
            </w:pPr>
          </w:p>
        </w:tc>
        <w:tc>
          <w:tcPr>
            <w:cnfStyle w:val="000010000000"/>
            <w:tcW w:w="819" w:type="dxa"/>
            <w:tcBorders>
              <w:top w:val="nil"/>
            </w:tcBorders>
            <w:shd w:val="clear" w:color="auto" w:fill="auto"/>
            <w:vAlign w:val="center"/>
          </w:tcPr>
          <w:p w:rsidR="00BF34B6" w:rsidRPr="00677F83" w:rsidRDefault="00BF34B6" w:rsidP="001F0251">
            <w:pPr>
              <w:tabs>
                <w:tab w:val="decimal" w:pos="244"/>
              </w:tabs>
              <w:adjustRightInd w:val="0"/>
              <w:snapToGrid w:val="0"/>
              <w:ind w:firstLineChars="0" w:firstLine="0"/>
              <w:rPr>
                <w:rFonts w:eastAsiaTheme="minorEastAsia"/>
                <w:sz w:val="18"/>
                <w:szCs w:val="18"/>
                <w:lang w:eastAsia="zh-CN"/>
              </w:rPr>
            </w:pPr>
          </w:p>
        </w:tc>
        <w:tc>
          <w:tcPr>
            <w:tcW w:w="820" w:type="dxa"/>
            <w:tcBorders>
              <w:top w:val="nil"/>
            </w:tcBorders>
            <w:shd w:val="clear" w:color="auto" w:fill="auto"/>
            <w:vAlign w:val="center"/>
          </w:tcPr>
          <w:p w:rsidR="00BF34B6" w:rsidRPr="00677F83" w:rsidRDefault="00BF34B6" w:rsidP="001F0251">
            <w:pPr>
              <w:tabs>
                <w:tab w:val="decimal" w:pos="170"/>
              </w:tabs>
              <w:adjustRightInd w:val="0"/>
              <w:snapToGrid w:val="0"/>
              <w:ind w:firstLineChars="0" w:firstLine="0"/>
              <w:cnfStyle w:val="000000100000"/>
              <w:rPr>
                <w:rFonts w:eastAsiaTheme="minorEastAsia"/>
                <w:sz w:val="18"/>
                <w:szCs w:val="18"/>
                <w:lang w:eastAsia="zh-CN"/>
              </w:rPr>
            </w:pPr>
          </w:p>
        </w:tc>
      </w:tr>
      <w:tr w:rsidR="00BF34B6" w:rsidRPr="00D51C66" w:rsidTr="00BF34B6">
        <w:trPr>
          <w:trHeight w:val="255"/>
          <w:jc w:val="center"/>
        </w:trPr>
        <w:tc>
          <w:tcPr>
            <w:cnfStyle w:val="001000000000"/>
            <w:tcW w:w="1300" w:type="dxa"/>
            <w:shd w:val="clear" w:color="auto" w:fill="auto"/>
            <w:vAlign w:val="center"/>
          </w:tcPr>
          <w:p w:rsidR="00BF34B6" w:rsidRPr="00C968F8" w:rsidRDefault="00BF34B6" w:rsidP="001F0251">
            <w:pPr>
              <w:adjustRightInd w:val="0"/>
              <w:snapToGrid w:val="0"/>
              <w:ind w:firstLineChars="0" w:firstLine="0"/>
              <w:rPr>
                <w:rFonts w:eastAsiaTheme="minorEastAsia"/>
                <w:b w:val="0"/>
                <w:i/>
                <w:sz w:val="18"/>
                <w:szCs w:val="18"/>
                <w:lang w:eastAsia="zh-CN"/>
              </w:rPr>
            </w:pPr>
            <w:r w:rsidRPr="00C968F8">
              <w:rPr>
                <w:rFonts w:eastAsia="MS PGothic"/>
                <w:b w:val="0"/>
                <w:i/>
                <w:sz w:val="18"/>
                <w:szCs w:val="18"/>
              </w:rPr>
              <w:t>Manufac</w:t>
            </w:r>
            <w:r w:rsidRPr="00C968F8">
              <w:rPr>
                <w:rFonts w:eastAsiaTheme="minorEastAsia" w:hint="eastAsia"/>
                <w:b w:val="0"/>
                <w:i/>
                <w:sz w:val="18"/>
                <w:szCs w:val="18"/>
                <w:lang w:eastAsia="zh-CN"/>
              </w:rPr>
              <w:t>t</w:t>
            </w:r>
          </w:p>
        </w:tc>
        <w:tc>
          <w:tcPr>
            <w:cnfStyle w:val="000010000000"/>
            <w:tcW w:w="874" w:type="dxa"/>
            <w:shd w:val="clear" w:color="auto" w:fill="auto"/>
            <w:vAlign w:val="center"/>
          </w:tcPr>
          <w:p w:rsidR="00BF34B6" w:rsidRPr="00BF34B6" w:rsidRDefault="006072A1" w:rsidP="001F0251">
            <w:pPr>
              <w:adjustRightInd w:val="0"/>
              <w:snapToGrid w:val="0"/>
              <w:ind w:firstLineChars="0" w:firstLine="0"/>
              <w:rPr>
                <w:rFonts w:eastAsiaTheme="minorEastAsia"/>
                <w:sz w:val="18"/>
                <w:szCs w:val="18"/>
                <w:lang w:eastAsia="zh-CN"/>
              </w:rPr>
            </w:pPr>
            <w:r>
              <w:rPr>
                <w:rFonts w:eastAsiaTheme="minorEastAsia" w:hint="eastAsia"/>
                <w:sz w:val="18"/>
                <w:szCs w:val="18"/>
                <w:lang w:eastAsia="zh-CN"/>
              </w:rPr>
              <w:t>-</w:t>
            </w:r>
          </w:p>
        </w:tc>
        <w:tc>
          <w:tcPr>
            <w:tcW w:w="903" w:type="dxa"/>
            <w:shd w:val="clear" w:color="auto" w:fill="auto"/>
            <w:vAlign w:val="center"/>
          </w:tcPr>
          <w:p w:rsidR="00BF34B6" w:rsidRPr="00D51C66" w:rsidRDefault="00BF34B6" w:rsidP="001F0251">
            <w:pPr>
              <w:tabs>
                <w:tab w:val="decimal" w:pos="272"/>
              </w:tabs>
              <w:adjustRightInd w:val="0"/>
              <w:snapToGrid w:val="0"/>
              <w:ind w:firstLineChars="0" w:firstLine="0"/>
              <w:cnfStyle w:val="000000000000"/>
              <w:rPr>
                <w:rFonts w:eastAsia="MS PGothic"/>
                <w:sz w:val="18"/>
                <w:szCs w:val="18"/>
              </w:rPr>
            </w:pPr>
            <w:r w:rsidRPr="00D51C66">
              <w:rPr>
                <w:rFonts w:eastAsia="MS PGothic"/>
                <w:sz w:val="18"/>
                <w:szCs w:val="18"/>
              </w:rPr>
              <w:t>1.791</w:t>
            </w:r>
          </w:p>
        </w:tc>
        <w:tc>
          <w:tcPr>
            <w:cnfStyle w:val="000010000000"/>
            <w:tcW w:w="903" w:type="dxa"/>
            <w:shd w:val="clear" w:color="auto" w:fill="auto"/>
            <w:vAlign w:val="center"/>
          </w:tcPr>
          <w:p w:rsidR="00BF34B6" w:rsidRPr="00677F83" w:rsidRDefault="00BF34B6" w:rsidP="001F0251">
            <w:pPr>
              <w:tabs>
                <w:tab w:val="decimal" w:pos="170"/>
              </w:tabs>
              <w:adjustRightInd w:val="0"/>
              <w:snapToGrid w:val="0"/>
              <w:ind w:firstLineChars="0" w:firstLine="0"/>
              <w:rPr>
                <w:rFonts w:eastAsiaTheme="minorEastAsia"/>
                <w:sz w:val="18"/>
                <w:szCs w:val="18"/>
              </w:rPr>
            </w:pPr>
            <w:r w:rsidRPr="00677F83">
              <w:rPr>
                <w:rFonts w:eastAsiaTheme="minorEastAsia"/>
                <w:sz w:val="18"/>
                <w:szCs w:val="18"/>
              </w:rPr>
              <w:t>1.64</w:t>
            </w:r>
          </w:p>
        </w:tc>
        <w:tc>
          <w:tcPr>
            <w:tcW w:w="155" w:type="dxa"/>
            <w:tcBorders>
              <w:left w:val="nil"/>
            </w:tcBorders>
            <w:shd w:val="clear" w:color="auto" w:fill="auto"/>
            <w:vAlign w:val="center"/>
          </w:tcPr>
          <w:p w:rsidR="00BF34B6" w:rsidRPr="00D51C66" w:rsidRDefault="00BF34B6" w:rsidP="001F0251">
            <w:pPr>
              <w:adjustRightInd w:val="0"/>
              <w:snapToGrid w:val="0"/>
              <w:ind w:firstLineChars="0" w:firstLine="0"/>
              <w:cnfStyle w:val="000000000000"/>
              <w:rPr>
                <w:rFonts w:eastAsia="MS PGothic"/>
                <w:sz w:val="18"/>
                <w:szCs w:val="18"/>
              </w:rPr>
            </w:pPr>
          </w:p>
        </w:tc>
        <w:tc>
          <w:tcPr>
            <w:cnfStyle w:val="000010000000"/>
            <w:tcW w:w="839" w:type="dxa"/>
            <w:shd w:val="clear" w:color="auto" w:fill="auto"/>
            <w:vAlign w:val="center"/>
          </w:tcPr>
          <w:p w:rsidR="00BF34B6" w:rsidRPr="00D51C66" w:rsidRDefault="00BF34B6" w:rsidP="001F0251">
            <w:pPr>
              <w:tabs>
                <w:tab w:val="decimal" w:pos="272"/>
              </w:tabs>
              <w:adjustRightInd w:val="0"/>
              <w:snapToGrid w:val="0"/>
              <w:ind w:firstLineChars="0" w:firstLine="0"/>
              <w:rPr>
                <w:rFonts w:eastAsia="MS PGothic"/>
                <w:sz w:val="18"/>
                <w:szCs w:val="18"/>
              </w:rPr>
            </w:pPr>
            <w:r w:rsidRPr="00D51C66">
              <w:rPr>
                <w:rFonts w:eastAsia="MS PGothic"/>
                <w:sz w:val="18"/>
                <w:szCs w:val="18"/>
              </w:rPr>
              <w:t>1.842</w:t>
            </w:r>
          </w:p>
        </w:tc>
        <w:tc>
          <w:tcPr>
            <w:tcW w:w="840" w:type="dxa"/>
            <w:tcBorders>
              <w:right w:val="nil"/>
            </w:tcBorders>
            <w:shd w:val="clear" w:color="auto" w:fill="auto"/>
            <w:vAlign w:val="center"/>
          </w:tcPr>
          <w:p w:rsidR="00BF34B6" w:rsidRPr="00677F83" w:rsidRDefault="00BF34B6" w:rsidP="001F0251">
            <w:pPr>
              <w:tabs>
                <w:tab w:val="decimal" w:pos="170"/>
              </w:tabs>
              <w:adjustRightInd w:val="0"/>
              <w:snapToGrid w:val="0"/>
              <w:ind w:firstLineChars="0" w:firstLine="0"/>
              <w:cnfStyle w:val="000000000000"/>
              <w:rPr>
                <w:rFonts w:eastAsiaTheme="minorEastAsia"/>
                <w:sz w:val="18"/>
                <w:szCs w:val="18"/>
                <w:lang w:eastAsia="zh-CN"/>
              </w:rPr>
            </w:pPr>
            <w:r w:rsidRPr="00677F83">
              <w:rPr>
                <w:rFonts w:eastAsiaTheme="minorEastAsia"/>
                <w:sz w:val="18"/>
                <w:szCs w:val="18"/>
              </w:rPr>
              <w:t>1.65</w:t>
            </w:r>
            <w:r w:rsidR="00677F83" w:rsidRPr="00677F83">
              <w:rPr>
                <w:rFonts w:eastAsiaTheme="minorEastAsia"/>
                <w:sz w:val="18"/>
                <w:szCs w:val="18"/>
                <w:vertAlign w:val="superscript"/>
              </w:rPr>
              <w:t>*</w:t>
            </w:r>
          </w:p>
        </w:tc>
        <w:tc>
          <w:tcPr>
            <w:cnfStyle w:val="000010000000"/>
            <w:tcW w:w="164" w:type="dxa"/>
            <w:shd w:val="clear" w:color="auto" w:fill="auto"/>
            <w:vAlign w:val="center"/>
          </w:tcPr>
          <w:p w:rsidR="00BF34B6" w:rsidRPr="00D51C66" w:rsidRDefault="00BF34B6" w:rsidP="001F0251">
            <w:pPr>
              <w:adjustRightInd w:val="0"/>
              <w:snapToGrid w:val="0"/>
              <w:ind w:firstLineChars="0" w:firstLine="0"/>
              <w:rPr>
                <w:rFonts w:eastAsia="MS PGothic"/>
                <w:sz w:val="18"/>
                <w:szCs w:val="18"/>
              </w:rPr>
            </w:pPr>
          </w:p>
        </w:tc>
        <w:tc>
          <w:tcPr>
            <w:tcW w:w="850" w:type="dxa"/>
            <w:shd w:val="clear" w:color="auto" w:fill="auto"/>
            <w:vAlign w:val="center"/>
          </w:tcPr>
          <w:p w:rsidR="00BF34B6" w:rsidRPr="00D51C66" w:rsidRDefault="00BF34B6" w:rsidP="001F0251">
            <w:pPr>
              <w:tabs>
                <w:tab w:val="decimal" w:pos="272"/>
              </w:tabs>
              <w:adjustRightInd w:val="0"/>
              <w:snapToGrid w:val="0"/>
              <w:ind w:firstLineChars="0" w:firstLine="0"/>
              <w:cnfStyle w:val="000000000000"/>
              <w:rPr>
                <w:rFonts w:eastAsia="MS PGothic"/>
                <w:sz w:val="18"/>
                <w:szCs w:val="18"/>
              </w:rPr>
            </w:pPr>
            <w:r w:rsidRPr="00D51C66">
              <w:rPr>
                <w:rFonts w:eastAsia="MS PGothic"/>
                <w:sz w:val="18"/>
                <w:szCs w:val="18"/>
              </w:rPr>
              <w:t>1.333</w:t>
            </w:r>
          </w:p>
        </w:tc>
        <w:tc>
          <w:tcPr>
            <w:cnfStyle w:val="000010000000"/>
            <w:tcW w:w="851" w:type="dxa"/>
            <w:shd w:val="clear" w:color="auto" w:fill="auto"/>
            <w:vAlign w:val="center"/>
          </w:tcPr>
          <w:p w:rsidR="00BF34B6" w:rsidRPr="00677F83" w:rsidRDefault="00BF34B6" w:rsidP="001F0251">
            <w:pPr>
              <w:tabs>
                <w:tab w:val="decimal" w:pos="170"/>
              </w:tabs>
              <w:adjustRightInd w:val="0"/>
              <w:snapToGrid w:val="0"/>
              <w:ind w:firstLineChars="0" w:firstLine="0"/>
              <w:rPr>
                <w:rFonts w:eastAsiaTheme="minorEastAsia"/>
                <w:sz w:val="18"/>
                <w:szCs w:val="18"/>
              </w:rPr>
            </w:pPr>
            <w:r w:rsidRPr="00677F83">
              <w:rPr>
                <w:rFonts w:eastAsiaTheme="minorEastAsia"/>
                <w:sz w:val="18"/>
                <w:szCs w:val="18"/>
              </w:rPr>
              <w:t>1.32</w:t>
            </w:r>
          </w:p>
        </w:tc>
        <w:tc>
          <w:tcPr>
            <w:tcW w:w="142" w:type="dxa"/>
            <w:tcBorders>
              <w:left w:val="nil"/>
            </w:tcBorders>
            <w:shd w:val="clear" w:color="auto" w:fill="auto"/>
            <w:vAlign w:val="center"/>
          </w:tcPr>
          <w:p w:rsidR="00BF34B6" w:rsidRPr="00D51C66" w:rsidRDefault="00BF34B6" w:rsidP="001F0251">
            <w:pPr>
              <w:adjustRightInd w:val="0"/>
              <w:snapToGrid w:val="0"/>
              <w:ind w:firstLineChars="0" w:firstLine="0"/>
              <w:cnfStyle w:val="000000000000"/>
              <w:rPr>
                <w:rFonts w:eastAsia="MS PGothic"/>
                <w:sz w:val="18"/>
                <w:szCs w:val="18"/>
              </w:rPr>
            </w:pPr>
          </w:p>
        </w:tc>
        <w:tc>
          <w:tcPr>
            <w:cnfStyle w:val="000010000000"/>
            <w:tcW w:w="819" w:type="dxa"/>
            <w:shd w:val="clear" w:color="auto" w:fill="auto"/>
            <w:vAlign w:val="center"/>
          </w:tcPr>
          <w:p w:rsidR="00BF34B6" w:rsidRPr="00677F83" w:rsidRDefault="00BF34B6" w:rsidP="001F0251">
            <w:pPr>
              <w:tabs>
                <w:tab w:val="decimal" w:pos="244"/>
              </w:tabs>
              <w:adjustRightInd w:val="0"/>
              <w:snapToGrid w:val="0"/>
              <w:ind w:firstLineChars="0" w:firstLine="0"/>
              <w:rPr>
                <w:rFonts w:eastAsia="MS PGothic"/>
                <w:sz w:val="18"/>
                <w:szCs w:val="18"/>
              </w:rPr>
            </w:pPr>
            <w:r w:rsidRPr="00677F83">
              <w:rPr>
                <w:rFonts w:eastAsia="MS PGothic"/>
                <w:sz w:val="18"/>
                <w:szCs w:val="18"/>
              </w:rPr>
              <w:t>1.354</w:t>
            </w:r>
          </w:p>
        </w:tc>
        <w:tc>
          <w:tcPr>
            <w:tcW w:w="820" w:type="dxa"/>
            <w:shd w:val="clear" w:color="auto" w:fill="auto"/>
            <w:vAlign w:val="center"/>
          </w:tcPr>
          <w:p w:rsidR="00BF34B6" w:rsidRPr="00677F83" w:rsidRDefault="00BF34B6" w:rsidP="001F0251">
            <w:pPr>
              <w:tabs>
                <w:tab w:val="decimal" w:pos="170"/>
              </w:tabs>
              <w:adjustRightInd w:val="0"/>
              <w:snapToGrid w:val="0"/>
              <w:ind w:firstLineChars="0" w:firstLine="0"/>
              <w:cnfStyle w:val="000000000000"/>
              <w:rPr>
                <w:rFonts w:eastAsiaTheme="minorEastAsia"/>
                <w:sz w:val="18"/>
                <w:szCs w:val="18"/>
              </w:rPr>
            </w:pPr>
            <w:r w:rsidRPr="00677F83">
              <w:rPr>
                <w:rFonts w:eastAsiaTheme="minorEastAsia"/>
                <w:sz w:val="18"/>
                <w:szCs w:val="18"/>
              </w:rPr>
              <w:t>1.33</w:t>
            </w:r>
          </w:p>
        </w:tc>
      </w:tr>
      <w:tr w:rsidR="00BF34B6" w:rsidRPr="00D51C66" w:rsidTr="00BF34B6">
        <w:trPr>
          <w:cnfStyle w:val="000000100000"/>
          <w:trHeight w:val="255"/>
          <w:jc w:val="center"/>
        </w:trPr>
        <w:tc>
          <w:tcPr>
            <w:cnfStyle w:val="001000000000"/>
            <w:tcW w:w="1300" w:type="dxa"/>
            <w:shd w:val="clear" w:color="auto" w:fill="auto"/>
            <w:vAlign w:val="center"/>
          </w:tcPr>
          <w:p w:rsidR="00BF34B6" w:rsidRPr="00C968F8" w:rsidRDefault="00BF34B6" w:rsidP="001F0251">
            <w:pPr>
              <w:adjustRightInd w:val="0"/>
              <w:snapToGrid w:val="0"/>
              <w:ind w:firstLineChars="0" w:firstLine="0"/>
              <w:rPr>
                <w:rFonts w:eastAsia="MS PGothic"/>
                <w:b w:val="0"/>
                <w:i/>
                <w:sz w:val="18"/>
                <w:szCs w:val="18"/>
              </w:rPr>
            </w:pPr>
            <w:r w:rsidRPr="00C968F8">
              <w:rPr>
                <w:rFonts w:eastAsia="MS PGothic"/>
                <w:b w:val="0"/>
                <w:i/>
                <w:sz w:val="18"/>
                <w:szCs w:val="18"/>
              </w:rPr>
              <w:t>Intangibles</w:t>
            </w:r>
          </w:p>
        </w:tc>
        <w:tc>
          <w:tcPr>
            <w:cnfStyle w:val="000010000000"/>
            <w:tcW w:w="874" w:type="dxa"/>
            <w:shd w:val="clear" w:color="auto" w:fill="auto"/>
            <w:vAlign w:val="center"/>
          </w:tcPr>
          <w:p w:rsidR="00BF34B6" w:rsidRPr="00BF34B6" w:rsidRDefault="006072A1" w:rsidP="001F0251">
            <w:pPr>
              <w:adjustRightInd w:val="0"/>
              <w:snapToGrid w:val="0"/>
              <w:ind w:firstLineChars="0" w:firstLine="0"/>
              <w:rPr>
                <w:rFonts w:eastAsiaTheme="minorEastAsia"/>
                <w:sz w:val="18"/>
                <w:szCs w:val="18"/>
                <w:lang w:eastAsia="zh-CN"/>
              </w:rPr>
            </w:pPr>
            <w:r>
              <w:rPr>
                <w:rFonts w:eastAsiaTheme="minorEastAsia" w:hint="eastAsia"/>
                <w:sz w:val="18"/>
                <w:szCs w:val="18"/>
                <w:lang w:eastAsia="zh-CN"/>
              </w:rPr>
              <w:t>-</w:t>
            </w:r>
          </w:p>
        </w:tc>
        <w:tc>
          <w:tcPr>
            <w:tcW w:w="903" w:type="dxa"/>
            <w:shd w:val="clear" w:color="auto" w:fill="auto"/>
            <w:vAlign w:val="center"/>
          </w:tcPr>
          <w:p w:rsidR="00BF34B6" w:rsidRPr="00D51C66" w:rsidRDefault="00BF34B6" w:rsidP="001F0251">
            <w:pPr>
              <w:tabs>
                <w:tab w:val="decimal" w:pos="272"/>
              </w:tabs>
              <w:adjustRightInd w:val="0"/>
              <w:snapToGrid w:val="0"/>
              <w:ind w:firstLineChars="0" w:firstLine="0"/>
              <w:cnfStyle w:val="000000100000"/>
              <w:rPr>
                <w:rFonts w:eastAsia="MS PGothic"/>
                <w:sz w:val="18"/>
                <w:szCs w:val="18"/>
              </w:rPr>
            </w:pPr>
            <w:r w:rsidRPr="00D51C66">
              <w:rPr>
                <w:rFonts w:eastAsia="MS PGothic"/>
                <w:sz w:val="18"/>
                <w:szCs w:val="18"/>
              </w:rPr>
              <w:t>-24.046</w:t>
            </w:r>
          </w:p>
        </w:tc>
        <w:tc>
          <w:tcPr>
            <w:cnfStyle w:val="000010000000"/>
            <w:tcW w:w="903" w:type="dxa"/>
            <w:shd w:val="clear" w:color="auto" w:fill="auto"/>
            <w:vAlign w:val="center"/>
          </w:tcPr>
          <w:p w:rsidR="00BF34B6" w:rsidRPr="00677F83" w:rsidRDefault="00BF34B6" w:rsidP="001F0251">
            <w:pPr>
              <w:tabs>
                <w:tab w:val="decimal" w:pos="170"/>
              </w:tabs>
              <w:adjustRightInd w:val="0"/>
              <w:snapToGrid w:val="0"/>
              <w:ind w:firstLineChars="0" w:firstLine="0"/>
              <w:rPr>
                <w:rFonts w:eastAsiaTheme="minorEastAsia"/>
                <w:sz w:val="18"/>
                <w:szCs w:val="18"/>
              </w:rPr>
            </w:pPr>
            <w:r w:rsidRPr="00677F83">
              <w:rPr>
                <w:rFonts w:eastAsiaTheme="minorEastAsia"/>
                <w:sz w:val="18"/>
                <w:szCs w:val="18"/>
              </w:rPr>
              <w:t>-5.69</w:t>
            </w:r>
            <w:r w:rsidR="00677F83" w:rsidRPr="00677F83">
              <w:rPr>
                <w:rFonts w:eastAsiaTheme="minorEastAsia"/>
                <w:sz w:val="18"/>
                <w:szCs w:val="18"/>
                <w:vertAlign w:val="superscript"/>
              </w:rPr>
              <w:t>***</w:t>
            </w:r>
          </w:p>
        </w:tc>
        <w:tc>
          <w:tcPr>
            <w:tcW w:w="155" w:type="dxa"/>
            <w:shd w:val="clear" w:color="auto" w:fill="auto"/>
            <w:vAlign w:val="center"/>
          </w:tcPr>
          <w:p w:rsidR="00BF34B6" w:rsidRPr="00D51C66" w:rsidRDefault="00BF34B6" w:rsidP="001F0251">
            <w:pPr>
              <w:adjustRightInd w:val="0"/>
              <w:snapToGrid w:val="0"/>
              <w:ind w:firstLineChars="0" w:firstLine="0"/>
              <w:cnfStyle w:val="000000100000"/>
              <w:rPr>
                <w:rFonts w:eastAsia="MS PGothic"/>
                <w:sz w:val="18"/>
                <w:szCs w:val="18"/>
              </w:rPr>
            </w:pPr>
          </w:p>
        </w:tc>
        <w:tc>
          <w:tcPr>
            <w:cnfStyle w:val="000010000000"/>
            <w:tcW w:w="839" w:type="dxa"/>
            <w:shd w:val="clear" w:color="auto" w:fill="auto"/>
            <w:vAlign w:val="center"/>
          </w:tcPr>
          <w:p w:rsidR="00BF34B6" w:rsidRPr="00D51C66" w:rsidRDefault="00BF34B6" w:rsidP="001F0251">
            <w:pPr>
              <w:tabs>
                <w:tab w:val="decimal" w:pos="272"/>
              </w:tabs>
              <w:adjustRightInd w:val="0"/>
              <w:snapToGrid w:val="0"/>
              <w:ind w:firstLineChars="0" w:firstLine="0"/>
              <w:rPr>
                <w:rFonts w:eastAsia="MS PGothic"/>
                <w:sz w:val="18"/>
                <w:szCs w:val="18"/>
              </w:rPr>
            </w:pPr>
            <w:r w:rsidRPr="00D51C66">
              <w:rPr>
                <w:rFonts w:eastAsia="MS PGothic"/>
                <w:sz w:val="18"/>
                <w:szCs w:val="18"/>
              </w:rPr>
              <w:t>-24.535</w:t>
            </w:r>
          </w:p>
        </w:tc>
        <w:tc>
          <w:tcPr>
            <w:tcW w:w="840" w:type="dxa"/>
            <w:shd w:val="clear" w:color="auto" w:fill="auto"/>
            <w:vAlign w:val="center"/>
          </w:tcPr>
          <w:p w:rsidR="00BF34B6" w:rsidRPr="00677F83" w:rsidRDefault="00BF34B6" w:rsidP="001F0251">
            <w:pPr>
              <w:tabs>
                <w:tab w:val="decimal" w:pos="170"/>
              </w:tabs>
              <w:adjustRightInd w:val="0"/>
              <w:snapToGrid w:val="0"/>
              <w:ind w:firstLineChars="0" w:firstLine="0"/>
              <w:cnfStyle w:val="000000100000"/>
              <w:rPr>
                <w:rFonts w:eastAsiaTheme="minorEastAsia"/>
                <w:sz w:val="18"/>
                <w:szCs w:val="18"/>
              </w:rPr>
            </w:pPr>
            <w:r w:rsidRPr="00677F83">
              <w:rPr>
                <w:rFonts w:eastAsiaTheme="minorEastAsia"/>
                <w:sz w:val="18"/>
                <w:szCs w:val="18"/>
              </w:rPr>
              <w:t>-5.46</w:t>
            </w:r>
            <w:r w:rsidR="00677F83" w:rsidRPr="00677F83">
              <w:rPr>
                <w:rFonts w:eastAsiaTheme="minorEastAsia"/>
                <w:sz w:val="18"/>
                <w:szCs w:val="18"/>
                <w:vertAlign w:val="superscript"/>
              </w:rPr>
              <w:t>***</w:t>
            </w:r>
          </w:p>
        </w:tc>
        <w:tc>
          <w:tcPr>
            <w:cnfStyle w:val="000010000000"/>
            <w:tcW w:w="164" w:type="dxa"/>
            <w:shd w:val="clear" w:color="auto" w:fill="auto"/>
            <w:vAlign w:val="center"/>
          </w:tcPr>
          <w:p w:rsidR="00BF34B6" w:rsidRPr="00D51C66" w:rsidRDefault="00BF34B6" w:rsidP="001F0251">
            <w:pPr>
              <w:adjustRightInd w:val="0"/>
              <w:snapToGrid w:val="0"/>
              <w:ind w:firstLineChars="0" w:firstLine="0"/>
              <w:rPr>
                <w:rFonts w:eastAsia="MS PGothic"/>
                <w:sz w:val="18"/>
                <w:szCs w:val="18"/>
              </w:rPr>
            </w:pPr>
          </w:p>
        </w:tc>
        <w:tc>
          <w:tcPr>
            <w:tcW w:w="850" w:type="dxa"/>
            <w:shd w:val="clear" w:color="auto" w:fill="auto"/>
            <w:vAlign w:val="center"/>
          </w:tcPr>
          <w:p w:rsidR="00BF34B6" w:rsidRPr="00D51C66" w:rsidRDefault="00BF34B6" w:rsidP="001F0251">
            <w:pPr>
              <w:tabs>
                <w:tab w:val="decimal" w:pos="272"/>
              </w:tabs>
              <w:adjustRightInd w:val="0"/>
              <w:snapToGrid w:val="0"/>
              <w:ind w:firstLineChars="0" w:firstLine="0"/>
              <w:cnfStyle w:val="000000100000"/>
              <w:rPr>
                <w:rFonts w:eastAsia="MS PGothic"/>
                <w:sz w:val="18"/>
                <w:szCs w:val="18"/>
              </w:rPr>
            </w:pPr>
            <w:r w:rsidRPr="00D51C66">
              <w:rPr>
                <w:rFonts w:eastAsia="MS PGothic"/>
                <w:sz w:val="18"/>
                <w:szCs w:val="18"/>
              </w:rPr>
              <w:t>-24.265</w:t>
            </w:r>
          </w:p>
        </w:tc>
        <w:tc>
          <w:tcPr>
            <w:cnfStyle w:val="000010000000"/>
            <w:tcW w:w="851" w:type="dxa"/>
            <w:shd w:val="clear" w:color="auto" w:fill="auto"/>
            <w:vAlign w:val="center"/>
          </w:tcPr>
          <w:p w:rsidR="00BF34B6" w:rsidRPr="00677F83" w:rsidRDefault="00BF34B6" w:rsidP="001F0251">
            <w:pPr>
              <w:tabs>
                <w:tab w:val="decimal" w:pos="170"/>
              </w:tabs>
              <w:adjustRightInd w:val="0"/>
              <w:snapToGrid w:val="0"/>
              <w:ind w:firstLineChars="0" w:firstLine="0"/>
              <w:rPr>
                <w:rFonts w:eastAsiaTheme="minorEastAsia"/>
                <w:sz w:val="18"/>
                <w:szCs w:val="18"/>
              </w:rPr>
            </w:pPr>
            <w:r w:rsidRPr="00677F83">
              <w:rPr>
                <w:rFonts w:eastAsiaTheme="minorEastAsia"/>
                <w:sz w:val="18"/>
                <w:szCs w:val="18"/>
              </w:rPr>
              <w:t>-5.61</w:t>
            </w:r>
            <w:r w:rsidR="00677F83" w:rsidRPr="00677F83">
              <w:rPr>
                <w:rFonts w:eastAsiaTheme="minorEastAsia"/>
                <w:sz w:val="18"/>
                <w:szCs w:val="18"/>
                <w:vertAlign w:val="superscript"/>
              </w:rPr>
              <w:t>***</w:t>
            </w:r>
          </w:p>
        </w:tc>
        <w:tc>
          <w:tcPr>
            <w:tcW w:w="142" w:type="dxa"/>
            <w:shd w:val="clear" w:color="auto" w:fill="auto"/>
            <w:vAlign w:val="center"/>
          </w:tcPr>
          <w:p w:rsidR="00BF34B6" w:rsidRPr="00D51C66" w:rsidRDefault="00BF34B6" w:rsidP="001F0251">
            <w:pPr>
              <w:adjustRightInd w:val="0"/>
              <w:snapToGrid w:val="0"/>
              <w:ind w:firstLineChars="0" w:firstLine="0"/>
              <w:cnfStyle w:val="000000100000"/>
              <w:rPr>
                <w:rFonts w:eastAsia="MS PGothic"/>
                <w:sz w:val="18"/>
                <w:szCs w:val="18"/>
              </w:rPr>
            </w:pPr>
          </w:p>
        </w:tc>
        <w:tc>
          <w:tcPr>
            <w:cnfStyle w:val="000010000000"/>
            <w:tcW w:w="819" w:type="dxa"/>
            <w:shd w:val="clear" w:color="auto" w:fill="auto"/>
            <w:vAlign w:val="center"/>
          </w:tcPr>
          <w:p w:rsidR="00BF34B6" w:rsidRPr="00677F83" w:rsidRDefault="00BF34B6" w:rsidP="001F0251">
            <w:pPr>
              <w:tabs>
                <w:tab w:val="decimal" w:pos="244"/>
              </w:tabs>
              <w:adjustRightInd w:val="0"/>
              <w:snapToGrid w:val="0"/>
              <w:ind w:firstLineChars="0" w:firstLine="0"/>
              <w:rPr>
                <w:rFonts w:eastAsia="MS PGothic"/>
                <w:sz w:val="18"/>
                <w:szCs w:val="18"/>
              </w:rPr>
            </w:pPr>
            <w:r w:rsidRPr="00677F83">
              <w:rPr>
                <w:rFonts w:eastAsia="MS PGothic"/>
                <w:sz w:val="18"/>
                <w:szCs w:val="18"/>
              </w:rPr>
              <w:t>-23.377</w:t>
            </w:r>
          </w:p>
        </w:tc>
        <w:tc>
          <w:tcPr>
            <w:tcW w:w="820" w:type="dxa"/>
            <w:shd w:val="clear" w:color="auto" w:fill="auto"/>
            <w:vAlign w:val="center"/>
          </w:tcPr>
          <w:p w:rsidR="00BF34B6" w:rsidRPr="00677F83" w:rsidRDefault="00BF34B6" w:rsidP="001F0251">
            <w:pPr>
              <w:tabs>
                <w:tab w:val="decimal" w:pos="170"/>
              </w:tabs>
              <w:adjustRightInd w:val="0"/>
              <w:snapToGrid w:val="0"/>
              <w:ind w:firstLineChars="0" w:firstLine="0"/>
              <w:cnfStyle w:val="000000100000"/>
              <w:rPr>
                <w:rFonts w:eastAsiaTheme="minorEastAsia"/>
                <w:sz w:val="18"/>
                <w:szCs w:val="18"/>
              </w:rPr>
            </w:pPr>
            <w:r w:rsidRPr="00677F83">
              <w:rPr>
                <w:rFonts w:eastAsiaTheme="minorEastAsia"/>
                <w:sz w:val="18"/>
                <w:szCs w:val="18"/>
              </w:rPr>
              <w:t>-5.47</w:t>
            </w:r>
            <w:r w:rsidR="00677F83" w:rsidRPr="00677F83">
              <w:rPr>
                <w:rFonts w:eastAsiaTheme="minorEastAsia"/>
                <w:sz w:val="18"/>
                <w:szCs w:val="18"/>
                <w:vertAlign w:val="superscript"/>
              </w:rPr>
              <w:t>***</w:t>
            </w:r>
          </w:p>
        </w:tc>
      </w:tr>
      <w:tr w:rsidR="00BF34B6" w:rsidRPr="00D51C66" w:rsidTr="00BF34B6">
        <w:trPr>
          <w:trHeight w:val="255"/>
          <w:jc w:val="center"/>
        </w:trPr>
        <w:tc>
          <w:tcPr>
            <w:cnfStyle w:val="001000000000"/>
            <w:tcW w:w="1300" w:type="dxa"/>
            <w:shd w:val="clear" w:color="auto" w:fill="auto"/>
            <w:vAlign w:val="center"/>
          </w:tcPr>
          <w:p w:rsidR="00BF34B6" w:rsidRPr="00C968F8" w:rsidRDefault="00BF34B6" w:rsidP="001F0251">
            <w:pPr>
              <w:adjustRightInd w:val="0"/>
              <w:snapToGrid w:val="0"/>
              <w:ind w:firstLineChars="0" w:firstLine="0"/>
              <w:rPr>
                <w:rFonts w:eastAsia="MS PGothic"/>
                <w:b w:val="0"/>
                <w:i/>
                <w:sz w:val="18"/>
                <w:szCs w:val="18"/>
              </w:rPr>
            </w:pPr>
            <w:r w:rsidRPr="00C968F8">
              <w:rPr>
                <w:rFonts w:eastAsia="MS PGothic"/>
                <w:b w:val="0"/>
                <w:i/>
                <w:sz w:val="18"/>
                <w:szCs w:val="18"/>
              </w:rPr>
              <w:t>Rd</w:t>
            </w:r>
          </w:p>
        </w:tc>
        <w:tc>
          <w:tcPr>
            <w:cnfStyle w:val="000010000000"/>
            <w:tcW w:w="874" w:type="dxa"/>
            <w:shd w:val="clear" w:color="auto" w:fill="auto"/>
            <w:vAlign w:val="center"/>
          </w:tcPr>
          <w:p w:rsidR="00BF34B6" w:rsidRPr="00BF34B6" w:rsidRDefault="006072A1" w:rsidP="001F0251">
            <w:pPr>
              <w:adjustRightInd w:val="0"/>
              <w:snapToGrid w:val="0"/>
              <w:ind w:firstLineChars="0" w:firstLine="0"/>
              <w:rPr>
                <w:rFonts w:eastAsiaTheme="minorEastAsia"/>
                <w:sz w:val="18"/>
                <w:szCs w:val="18"/>
                <w:lang w:eastAsia="zh-CN"/>
              </w:rPr>
            </w:pPr>
            <w:r>
              <w:rPr>
                <w:rFonts w:eastAsiaTheme="minorEastAsia" w:hint="eastAsia"/>
                <w:sz w:val="18"/>
                <w:szCs w:val="18"/>
                <w:lang w:eastAsia="zh-CN"/>
              </w:rPr>
              <w:t>-</w:t>
            </w:r>
          </w:p>
        </w:tc>
        <w:tc>
          <w:tcPr>
            <w:tcW w:w="903" w:type="dxa"/>
            <w:shd w:val="clear" w:color="auto" w:fill="auto"/>
            <w:vAlign w:val="center"/>
          </w:tcPr>
          <w:p w:rsidR="00BF34B6" w:rsidRPr="00D51C66" w:rsidRDefault="00BF34B6" w:rsidP="001F0251">
            <w:pPr>
              <w:tabs>
                <w:tab w:val="decimal" w:pos="272"/>
              </w:tabs>
              <w:adjustRightInd w:val="0"/>
              <w:snapToGrid w:val="0"/>
              <w:ind w:firstLineChars="0" w:firstLine="0"/>
              <w:cnfStyle w:val="000000000000"/>
              <w:rPr>
                <w:rFonts w:eastAsia="MS PGothic"/>
                <w:sz w:val="18"/>
                <w:szCs w:val="18"/>
              </w:rPr>
            </w:pPr>
            <w:r w:rsidRPr="00D51C66">
              <w:rPr>
                <w:rFonts w:eastAsia="MS PGothic"/>
                <w:sz w:val="18"/>
                <w:szCs w:val="18"/>
              </w:rPr>
              <w:t>-10.493</w:t>
            </w:r>
          </w:p>
        </w:tc>
        <w:tc>
          <w:tcPr>
            <w:cnfStyle w:val="000010000000"/>
            <w:tcW w:w="903" w:type="dxa"/>
            <w:shd w:val="clear" w:color="auto" w:fill="auto"/>
            <w:vAlign w:val="center"/>
          </w:tcPr>
          <w:p w:rsidR="00BF34B6" w:rsidRPr="00677F83" w:rsidRDefault="00BF34B6" w:rsidP="001F0251">
            <w:pPr>
              <w:tabs>
                <w:tab w:val="decimal" w:pos="170"/>
              </w:tabs>
              <w:adjustRightInd w:val="0"/>
              <w:snapToGrid w:val="0"/>
              <w:ind w:firstLineChars="0" w:firstLine="0"/>
              <w:rPr>
                <w:rFonts w:eastAsiaTheme="minorEastAsia"/>
                <w:sz w:val="18"/>
                <w:szCs w:val="18"/>
              </w:rPr>
            </w:pPr>
            <w:r w:rsidRPr="00677F83">
              <w:rPr>
                <w:rFonts w:eastAsiaTheme="minorEastAsia"/>
                <w:sz w:val="18"/>
                <w:szCs w:val="18"/>
              </w:rPr>
              <w:t>-1.18</w:t>
            </w:r>
          </w:p>
        </w:tc>
        <w:tc>
          <w:tcPr>
            <w:tcW w:w="155" w:type="dxa"/>
            <w:tcBorders>
              <w:left w:val="nil"/>
            </w:tcBorders>
            <w:shd w:val="clear" w:color="auto" w:fill="auto"/>
            <w:vAlign w:val="center"/>
          </w:tcPr>
          <w:p w:rsidR="00BF34B6" w:rsidRPr="00D51C66" w:rsidRDefault="00BF34B6" w:rsidP="001F0251">
            <w:pPr>
              <w:adjustRightInd w:val="0"/>
              <w:snapToGrid w:val="0"/>
              <w:ind w:firstLineChars="0" w:firstLine="0"/>
              <w:cnfStyle w:val="000000000000"/>
              <w:rPr>
                <w:rFonts w:eastAsia="MS PGothic"/>
                <w:sz w:val="18"/>
                <w:szCs w:val="18"/>
              </w:rPr>
            </w:pPr>
          </w:p>
        </w:tc>
        <w:tc>
          <w:tcPr>
            <w:cnfStyle w:val="000010000000"/>
            <w:tcW w:w="839" w:type="dxa"/>
            <w:shd w:val="clear" w:color="auto" w:fill="auto"/>
            <w:vAlign w:val="center"/>
          </w:tcPr>
          <w:p w:rsidR="00BF34B6" w:rsidRPr="00677F83" w:rsidRDefault="00BF34B6" w:rsidP="001F0251">
            <w:pPr>
              <w:tabs>
                <w:tab w:val="decimal" w:pos="272"/>
              </w:tabs>
              <w:adjustRightInd w:val="0"/>
              <w:snapToGrid w:val="0"/>
              <w:ind w:firstLineChars="0" w:firstLine="0"/>
              <w:rPr>
                <w:rFonts w:eastAsiaTheme="minorEastAsia"/>
                <w:sz w:val="18"/>
                <w:szCs w:val="18"/>
                <w:lang w:eastAsia="zh-CN"/>
              </w:rPr>
            </w:pPr>
          </w:p>
        </w:tc>
        <w:tc>
          <w:tcPr>
            <w:tcW w:w="840" w:type="dxa"/>
            <w:tcBorders>
              <w:right w:val="nil"/>
            </w:tcBorders>
            <w:shd w:val="clear" w:color="auto" w:fill="auto"/>
            <w:vAlign w:val="center"/>
          </w:tcPr>
          <w:p w:rsidR="00BF34B6" w:rsidRPr="00677F83" w:rsidRDefault="00BF34B6" w:rsidP="001F0251">
            <w:pPr>
              <w:tabs>
                <w:tab w:val="decimal" w:pos="170"/>
              </w:tabs>
              <w:adjustRightInd w:val="0"/>
              <w:snapToGrid w:val="0"/>
              <w:ind w:firstLineChars="0" w:firstLine="0"/>
              <w:cnfStyle w:val="000000000000"/>
              <w:rPr>
                <w:rFonts w:eastAsiaTheme="minorEastAsia"/>
                <w:sz w:val="18"/>
                <w:szCs w:val="18"/>
                <w:lang w:eastAsia="zh-CN"/>
              </w:rPr>
            </w:pPr>
          </w:p>
        </w:tc>
        <w:tc>
          <w:tcPr>
            <w:cnfStyle w:val="000010000000"/>
            <w:tcW w:w="164" w:type="dxa"/>
            <w:shd w:val="clear" w:color="auto" w:fill="auto"/>
            <w:vAlign w:val="center"/>
          </w:tcPr>
          <w:p w:rsidR="00BF34B6" w:rsidRPr="00D51C66" w:rsidRDefault="00BF34B6" w:rsidP="001F0251">
            <w:pPr>
              <w:adjustRightInd w:val="0"/>
              <w:snapToGrid w:val="0"/>
              <w:ind w:firstLineChars="0" w:firstLine="0"/>
              <w:rPr>
                <w:rFonts w:eastAsia="MS PGothic"/>
                <w:sz w:val="18"/>
                <w:szCs w:val="18"/>
              </w:rPr>
            </w:pPr>
          </w:p>
        </w:tc>
        <w:tc>
          <w:tcPr>
            <w:tcW w:w="850" w:type="dxa"/>
            <w:shd w:val="clear" w:color="auto" w:fill="auto"/>
            <w:vAlign w:val="center"/>
          </w:tcPr>
          <w:p w:rsidR="00BF34B6" w:rsidRPr="00D51C66" w:rsidRDefault="00BF34B6" w:rsidP="001F0251">
            <w:pPr>
              <w:tabs>
                <w:tab w:val="decimal" w:pos="272"/>
              </w:tabs>
              <w:adjustRightInd w:val="0"/>
              <w:snapToGrid w:val="0"/>
              <w:ind w:firstLineChars="0" w:firstLine="0"/>
              <w:cnfStyle w:val="000000000000"/>
              <w:rPr>
                <w:rFonts w:eastAsia="MS PGothic"/>
                <w:sz w:val="18"/>
                <w:szCs w:val="18"/>
              </w:rPr>
            </w:pPr>
            <w:r w:rsidRPr="00D51C66">
              <w:rPr>
                <w:rFonts w:eastAsia="MS PGothic"/>
                <w:sz w:val="18"/>
                <w:szCs w:val="18"/>
              </w:rPr>
              <w:t>-10.539</w:t>
            </w:r>
          </w:p>
        </w:tc>
        <w:tc>
          <w:tcPr>
            <w:cnfStyle w:val="000010000000"/>
            <w:tcW w:w="851" w:type="dxa"/>
            <w:shd w:val="clear" w:color="auto" w:fill="auto"/>
            <w:vAlign w:val="center"/>
          </w:tcPr>
          <w:p w:rsidR="00BF34B6" w:rsidRPr="00677F83" w:rsidRDefault="00BF34B6" w:rsidP="001F0251">
            <w:pPr>
              <w:tabs>
                <w:tab w:val="decimal" w:pos="170"/>
              </w:tabs>
              <w:adjustRightInd w:val="0"/>
              <w:snapToGrid w:val="0"/>
              <w:ind w:firstLineChars="0" w:firstLine="0"/>
              <w:rPr>
                <w:rFonts w:eastAsiaTheme="minorEastAsia"/>
                <w:sz w:val="18"/>
                <w:szCs w:val="18"/>
              </w:rPr>
            </w:pPr>
            <w:r w:rsidRPr="00677F83">
              <w:rPr>
                <w:rFonts w:eastAsiaTheme="minorEastAsia"/>
                <w:sz w:val="18"/>
                <w:szCs w:val="18"/>
              </w:rPr>
              <w:t>-1.03</w:t>
            </w:r>
          </w:p>
        </w:tc>
        <w:tc>
          <w:tcPr>
            <w:tcW w:w="142" w:type="dxa"/>
            <w:tcBorders>
              <w:left w:val="nil"/>
            </w:tcBorders>
            <w:shd w:val="clear" w:color="auto" w:fill="auto"/>
            <w:vAlign w:val="center"/>
          </w:tcPr>
          <w:p w:rsidR="00BF34B6" w:rsidRPr="00D51C66" w:rsidRDefault="00BF34B6" w:rsidP="001F0251">
            <w:pPr>
              <w:adjustRightInd w:val="0"/>
              <w:snapToGrid w:val="0"/>
              <w:ind w:firstLineChars="0" w:firstLine="0"/>
              <w:cnfStyle w:val="000000000000"/>
              <w:rPr>
                <w:rFonts w:eastAsia="MS PGothic"/>
                <w:sz w:val="18"/>
                <w:szCs w:val="18"/>
              </w:rPr>
            </w:pPr>
          </w:p>
        </w:tc>
        <w:tc>
          <w:tcPr>
            <w:cnfStyle w:val="000010000000"/>
            <w:tcW w:w="819" w:type="dxa"/>
            <w:shd w:val="clear" w:color="auto" w:fill="auto"/>
            <w:vAlign w:val="center"/>
          </w:tcPr>
          <w:p w:rsidR="00BF34B6" w:rsidRPr="00677F83" w:rsidRDefault="00BF34B6" w:rsidP="001F0251">
            <w:pPr>
              <w:tabs>
                <w:tab w:val="decimal" w:pos="244"/>
              </w:tabs>
              <w:adjustRightInd w:val="0"/>
              <w:snapToGrid w:val="0"/>
              <w:ind w:firstLineChars="0" w:firstLine="0"/>
              <w:rPr>
                <w:rFonts w:eastAsia="MS PGothic"/>
                <w:sz w:val="18"/>
                <w:szCs w:val="18"/>
              </w:rPr>
            </w:pPr>
            <w:r w:rsidRPr="00677F83">
              <w:rPr>
                <w:rFonts w:eastAsia="MS PGothic"/>
                <w:sz w:val="18"/>
                <w:szCs w:val="18"/>
              </w:rPr>
              <w:t>-11.585</w:t>
            </w:r>
          </w:p>
        </w:tc>
        <w:tc>
          <w:tcPr>
            <w:tcW w:w="820" w:type="dxa"/>
            <w:shd w:val="clear" w:color="auto" w:fill="auto"/>
            <w:vAlign w:val="center"/>
          </w:tcPr>
          <w:p w:rsidR="00BF34B6" w:rsidRPr="00677F83" w:rsidRDefault="00BF34B6" w:rsidP="001F0251">
            <w:pPr>
              <w:tabs>
                <w:tab w:val="decimal" w:pos="170"/>
              </w:tabs>
              <w:adjustRightInd w:val="0"/>
              <w:snapToGrid w:val="0"/>
              <w:ind w:firstLineChars="0" w:firstLine="0"/>
              <w:cnfStyle w:val="000000000000"/>
              <w:rPr>
                <w:rFonts w:eastAsiaTheme="minorEastAsia"/>
                <w:sz w:val="18"/>
                <w:szCs w:val="18"/>
              </w:rPr>
            </w:pPr>
            <w:r w:rsidRPr="00677F83">
              <w:rPr>
                <w:rFonts w:eastAsiaTheme="minorEastAsia"/>
                <w:sz w:val="18"/>
                <w:szCs w:val="18"/>
              </w:rPr>
              <w:t>-1.22</w:t>
            </w:r>
          </w:p>
        </w:tc>
      </w:tr>
      <w:tr w:rsidR="00BF34B6" w:rsidRPr="00D51C66" w:rsidTr="00BF34B6">
        <w:trPr>
          <w:cnfStyle w:val="000000100000"/>
          <w:trHeight w:val="255"/>
          <w:jc w:val="center"/>
        </w:trPr>
        <w:tc>
          <w:tcPr>
            <w:cnfStyle w:val="001000000000"/>
            <w:tcW w:w="1300" w:type="dxa"/>
            <w:shd w:val="clear" w:color="auto" w:fill="auto"/>
            <w:vAlign w:val="center"/>
          </w:tcPr>
          <w:p w:rsidR="00BF34B6" w:rsidRPr="00C968F8" w:rsidRDefault="00BF34B6" w:rsidP="001F0251">
            <w:pPr>
              <w:adjustRightInd w:val="0"/>
              <w:snapToGrid w:val="0"/>
              <w:ind w:firstLineChars="0" w:firstLine="0"/>
              <w:rPr>
                <w:rFonts w:eastAsia="MS PGothic"/>
                <w:b w:val="0"/>
                <w:i/>
                <w:sz w:val="18"/>
                <w:szCs w:val="18"/>
              </w:rPr>
            </w:pPr>
            <w:r w:rsidRPr="00C968F8">
              <w:rPr>
                <w:rFonts w:eastAsia="MS PGothic"/>
                <w:b w:val="0"/>
                <w:i/>
                <w:sz w:val="18"/>
                <w:szCs w:val="18"/>
              </w:rPr>
              <w:t>Advertise</w:t>
            </w:r>
          </w:p>
        </w:tc>
        <w:tc>
          <w:tcPr>
            <w:cnfStyle w:val="000010000000"/>
            <w:tcW w:w="874" w:type="dxa"/>
            <w:shd w:val="clear" w:color="auto" w:fill="auto"/>
            <w:vAlign w:val="center"/>
          </w:tcPr>
          <w:p w:rsidR="00BF34B6" w:rsidRPr="00D51C66" w:rsidRDefault="00BF34B6" w:rsidP="001F0251">
            <w:pPr>
              <w:adjustRightInd w:val="0"/>
              <w:snapToGrid w:val="0"/>
              <w:ind w:firstLineChars="0" w:firstLine="0"/>
              <w:rPr>
                <w:rFonts w:eastAsia="MS PGothic"/>
                <w:sz w:val="18"/>
                <w:szCs w:val="18"/>
              </w:rPr>
            </w:pPr>
            <w:r w:rsidRPr="00D51C66">
              <w:rPr>
                <w:rFonts w:eastAsia="MS PGothic"/>
                <w:sz w:val="18"/>
                <w:szCs w:val="18"/>
              </w:rPr>
              <w:t>+</w:t>
            </w:r>
          </w:p>
        </w:tc>
        <w:tc>
          <w:tcPr>
            <w:tcW w:w="903" w:type="dxa"/>
            <w:shd w:val="clear" w:color="auto" w:fill="auto"/>
            <w:vAlign w:val="center"/>
          </w:tcPr>
          <w:p w:rsidR="00BF34B6" w:rsidRPr="00D51C66" w:rsidRDefault="00BF34B6" w:rsidP="001F0251">
            <w:pPr>
              <w:tabs>
                <w:tab w:val="decimal" w:pos="272"/>
              </w:tabs>
              <w:adjustRightInd w:val="0"/>
              <w:snapToGrid w:val="0"/>
              <w:ind w:firstLineChars="0" w:firstLine="0"/>
              <w:cnfStyle w:val="000000100000"/>
              <w:rPr>
                <w:rFonts w:eastAsia="MS PGothic"/>
                <w:sz w:val="18"/>
                <w:szCs w:val="18"/>
              </w:rPr>
            </w:pPr>
            <w:r w:rsidRPr="00D51C66">
              <w:rPr>
                <w:rFonts w:eastAsia="MS PGothic"/>
                <w:sz w:val="18"/>
                <w:szCs w:val="18"/>
              </w:rPr>
              <w:t>28.730</w:t>
            </w:r>
          </w:p>
        </w:tc>
        <w:tc>
          <w:tcPr>
            <w:cnfStyle w:val="000010000000"/>
            <w:tcW w:w="903" w:type="dxa"/>
            <w:shd w:val="clear" w:color="auto" w:fill="auto"/>
            <w:vAlign w:val="center"/>
          </w:tcPr>
          <w:p w:rsidR="00BF34B6" w:rsidRPr="00677F83" w:rsidRDefault="00BF34B6" w:rsidP="001F0251">
            <w:pPr>
              <w:tabs>
                <w:tab w:val="decimal" w:pos="170"/>
              </w:tabs>
              <w:adjustRightInd w:val="0"/>
              <w:snapToGrid w:val="0"/>
              <w:ind w:firstLineChars="0" w:firstLine="0"/>
              <w:rPr>
                <w:rFonts w:eastAsiaTheme="minorEastAsia"/>
                <w:sz w:val="18"/>
                <w:szCs w:val="18"/>
                <w:lang w:eastAsia="zh-CN"/>
              </w:rPr>
            </w:pPr>
            <w:r w:rsidRPr="00677F83">
              <w:rPr>
                <w:rFonts w:eastAsiaTheme="minorEastAsia"/>
                <w:sz w:val="18"/>
                <w:szCs w:val="18"/>
              </w:rPr>
              <w:t>1.72</w:t>
            </w:r>
            <w:r w:rsidR="00677F83" w:rsidRPr="00677F83">
              <w:rPr>
                <w:rFonts w:eastAsiaTheme="minorEastAsia"/>
                <w:sz w:val="18"/>
                <w:szCs w:val="18"/>
                <w:vertAlign w:val="superscript"/>
              </w:rPr>
              <w:t>*</w:t>
            </w:r>
          </w:p>
        </w:tc>
        <w:tc>
          <w:tcPr>
            <w:tcW w:w="155" w:type="dxa"/>
            <w:shd w:val="clear" w:color="auto" w:fill="auto"/>
            <w:vAlign w:val="center"/>
          </w:tcPr>
          <w:p w:rsidR="00BF34B6" w:rsidRPr="00D51C66" w:rsidRDefault="00BF34B6" w:rsidP="001F0251">
            <w:pPr>
              <w:adjustRightInd w:val="0"/>
              <w:snapToGrid w:val="0"/>
              <w:ind w:firstLineChars="0" w:firstLine="0"/>
              <w:cnfStyle w:val="000000100000"/>
              <w:rPr>
                <w:rFonts w:eastAsia="MS PGothic"/>
                <w:sz w:val="18"/>
                <w:szCs w:val="18"/>
              </w:rPr>
            </w:pPr>
          </w:p>
        </w:tc>
        <w:tc>
          <w:tcPr>
            <w:cnfStyle w:val="000010000000"/>
            <w:tcW w:w="839" w:type="dxa"/>
            <w:shd w:val="clear" w:color="auto" w:fill="auto"/>
            <w:vAlign w:val="center"/>
          </w:tcPr>
          <w:p w:rsidR="00BF34B6" w:rsidRPr="00D51C66" w:rsidRDefault="00BF34B6" w:rsidP="001F0251">
            <w:pPr>
              <w:tabs>
                <w:tab w:val="decimal" w:pos="272"/>
              </w:tabs>
              <w:adjustRightInd w:val="0"/>
              <w:snapToGrid w:val="0"/>
              <w:ind w:firstLineChars="0" w:firstLine="0"/>
              <w:rPr>
                <w:rFonts w:eastAsia="MS PGothic"/>
                <w:sz w:val="18"/>
                <w:szCs w:val="18"/>
              </w:rPr>
            </w:pPr>
            <w:r w:rsidRPr="00D51C66">
              <w:rPr>
                <w:rFonts w:eastAsia="MS PGothic"/>
                <w:sz w:val="18"/>
                <w:szCs w:val="18"/>
              </w:rPr>
              <w:t>29.302</w:t>
            </w:r>
          </w:p>
        </w:tc>
        <w:tc>
          <w:tcPr>
            <w:tcW w:w="840" w:type="dxa"/>
            <w:shd w:val="clear" w:color="auto" w:fill="auto"/>
            <w:vAlign w:val="center"/>
          </w:tcPr>
          <w:p w:rsidR="00BF34B6" w:rsidRPr="00677F83" w:rsidRDefault="00BF34B6" w:rsidP="001F0251">
            <w:pPr>
              <w:tabs>
                <w:tab w:val="decimal" w:pos="170"/>
              </w:tabs>
              <w:adjustRightInd w:val="0"/>
              <w:snapToGrid w:val="0"/>
              <w:ind w:firstLineChars="0" w:firstLine="0"/>
              <w:cnfStyle w:val="000000100000"/>
              <w:rPr>
                <w:rFonts w:eastAsiaTheme="minorEastAsia"/>
                <w:sz w:val="18"/>
                <w:szCs w:val="18"/>
              </w:rPr>
            </w:pPr>
            <w:r w:rsidRPr="00677F83">
              <w:rPr>
                <w:rFonts w:eastAsiaTheme="minorEastAsia"/>
                <w:sz w:val="18"/>
                <w:szCs w:val="18"/>
              </w:rPr>
              <w:t>1.62</w:t>
            </w:r>
          </w:p>
        </w:tc>
        <w:tc>
          <w:tcPr>
            <w:cnfStyle w:val="000010000000"/>
            <w:tcW w:w="164" w:type="dxa"/>
            <w:shd w:val="clear" w:color="auto" w:fill="auto"/>
            <w:vAlign w:val="center"/>
          </w:tcPr>
          <w:p w:rsidR="00BF34B6" w:rsidRPr="00D51C66" w:rsidRDefault="00BF34B6" w:rsidP="001F0251">
            <w:pPr>
              <w:adjustRightInd w:val="0"/>
              <w:snapToGrid w:val="0"/>
              <w:ind w:firstLineChars="0" w:firstLine="0"/>
              <w:rPr>
                <w:rFonts w:eastAsia="MS PGothic"/>
                <w:sz w:val="18"/>
                <w:szCs w:val="18"/>
              </w:rPr>
            </w:pPr>
          </w:p>
        </w:tc>
        <w:tc>
          <w:tcPr>
            <w:tcW w:w="850" w:type="dxa"/>
            <w:shd w:val="clear" w:color="auto" w:fill="auto"/>
            <w:vAlign w:val="center"/>
          </w:tcPr>
          <w:p w:rsidR="00BF34B6" w:rsidRPr="00D51C66" w:rsidRDefault="00BF34B6" w:rsidP="001F0251">
            <w:pPr>
              <w:tabs>
                <w:tab w:val="decimal" w:pos="272"/>
              </w:tabs>
              <w:adjustRightInd w:val="0"/>
              <w:snapToGrid w:val="0"/>
              <w:ind w:firstLineChars="0" w:firstLine="0"/>
              <w:cnfStyle w:val="000000100000"/>
              <w:rPr>
                <w:rFonts w:eastAsia="MS PGothic"/>
                <w:sz w:val="18"/>
                <w:szCs w:val="18"/>
              </w:rPr>
            </w:pPr>
            <w:r w:rsidRPr="00D51C66">
              <w:rPr>
                <w:rFonts w:eastAsia="MS PGothic"/>
                <w:sz w:val="18"/>
                <w:szCs w:val="18"/>
              </w:rPr>
              <w:t>4.508</w:t>
            </w:r>
          </w:p>
        </w:tc>
        <w:tc>
          <w:tcPr>
            <w:cnfStyle w:val="000010000000"/>
            <w:tcW w:w="851" w:type="dxa"/>
            <w:shd w:val="clear" w:color="auto" w:fill="auto"/>
            <w:vAlign w:val="center"/>
          </w:tcPr>
          <w:p w:rsidR="00BF34B6" w:rsidRPr="00677F83" w:rsidRDefault="00BF34B6" w:rsidP="001F0251">
            <w:pPr>
              <w:tabs>
                <w:tab w:val="decimal" w:pos="170"/>
              </w:tabs>
              <w:adjustRightInd w:val="0"/>
              <w:snapToGrid w:val="0"/>
              <w:ind w:firstLineChars="0" w:firstLine="0"/>
              <w:rPr>
                <w:rFonts w:eastAsiaTheme="minorEastAsia"/>
                <w:sz w:val="18"/>
                <w:szCs w:val="18"/>
                <w:lang w:eastAsia="zh-CN"/>
              </w:rPr>
            </w:pPr>
            <w:r w:rsidRPr="00677F83">
              <w:rPr>
                <w:rFonts w:eastAsiaTheme="minorEastAsia"/>
                <w:sz w:val="18"/>
                <w:szCs w:val="18"/>
              </w:rPr>
              <w:t>2.54</w:t>
            </w:r>
            <w:r w:rsidR="00677F83" w:rsidRPr="00677F83">
              <w:rPr>
                <w:rFonts w:eastAsiaTheme="minorEastAsia"/>
                <w:sz w:val="18"/>
                <w:szCs w:val="18"/>
                <w:vertAlign w:val="superscript"/>
              </w:rPr>
              <w:t>**</w:t>
            </w:r>
          </w:p>
        </w:tc>
        <w:tc>
          <w:tcPr>
            <w:tcW w:w="142" w:type="dxa"/>
            <w:shd w:val="clear" w:color="auto" w:fill="auto"/>
            <w:vAlign w:val="center"/>
          </w:tcPr>
          <w:p w:rsidR="00BF34B6" w:rsidRPr="00D51C66" w:rsidRDefault="00BF34B6" w:rsidP="001F0251">
            <w:pPr>
              <w:adjustRightInd w:val="0"/>
              <w:snapToGrid w:val="0"/>
              <w:ind w:firstLineChars="0" w:firstLine="0"/>
              <w:cnfStyle w:val="000000100000"/>
              <w:rPr>
                <w:rFonts w:eastAsia="MS PGothic"/>
                <w:sz w:val="18"/>
                <w:szCs w:val="18"/>
              </w:rPr>
            </w:pPr>
          </w:p>
        </w:tc>
        <w:tc>
          <w:tcPr>
            <w:cnfStyle w:val="000010000000"/>
            <w:tcW w:w="819" w:type="dxa"/>
            <w:shd w:val="clear" w:color="auto" w:fill="auto"/>
            <w:vAlign w:val="center"/>
          </w:tcPr>
          <w:p w:rsidR="00BF34B6" w:rsidRPr="00677F83" w:rsidRDefault="00BF34B6" w:rsidP="001F0251">
            <w:pPr>
              <w:tabs>
                <w:tab w:val="decimal" w:pos="244"/>
              </w:tabs>
              <w:adjustRightInd w:val="0"/>
              <w:snapToGrid w:val="0"/>
              <w:ind w:firstLineChars="0" w:firstLine="0"/>
              <w:rPr>
                <w:rFonts w:eastAsia="MS PGothic"/>
                <w:sz w:val="18"/>
                <w:szCs w:val="18"/>
              </w:rPr>
            </w:pPr>
            <w:r w:rsidRPr="00677F83">
              <w:rPr>
                <w:rFonts w:eastAsia="MS PGothic"/>
                <w:sz w:val="18"/>
                <w:szCs w:val="18"/>
              </w:rPr>
              <w:t>4.229</w:t>
            </w:r>
          </w:p>
        </w:tc>
        <w:tc>
          <w:tcPr>
            <w:tcW w:w="820" w:type="dxa"/>
            <w:shd w:val="clear" w:color="auto" w:fill="auto"/>
            <w:vAlign w:val="center"/>
          </w:tcPr>
          <w:p w:rsidR="00BF34B6" w:rsidRPr="00677F83" w:rsidRDefault="00BF34B6" w:rsidP="001F0251">
            <w:pPr>
              <w:tabs>
                <w:tab w:val="decimal" w:pos="170"/>
              </w:tabs>
              <w:adjustRightInd w:val="0"/>
              <w:snapToGrid w:val="0"/>
              <w:ind w:firstLineChars="0" w:firstLine="0"/>
              <w:cnfStyle w:val="000000100000"/>
              <w:rPr>
                <w:rFonts w:eastAsiaTheme="minorEastAsia"/>
                <w:sz w:val="18"/>
                <w:szCs w:val="18"/>
                <w:lang w:eastAsia="zh-CN"/>
              </w:rPr>
            </w:pPr>
            <w:r w:rsidRPr="00677F83">
              <w:rPr>
                <w:rFonts w:eastAsiaTheme="minorEastAsia"/>
                <w:sz w:val="18"/>
                <w:szCs w:val="18"/>
              </w:rPr>
              <w:t>2.32</w:t>
            </w:r>
            <w:r w:rsidR="00677F83" w:rsidRPr="00677F83">
              <w:rPr>
                <w:rFonts w:eastAsiaTheme="minorEastAsia"/>
                <w:sz w:val="18"/>
                <w:szCs w:val="18"/>
                <w:vertAlign w:val="superscript"/>
              </w:rPr>
              <w:t>**</w:t>
            </w:r>
          </w:p>
        </w:tc>
      </w:tr>
      <w:tr w:rsidR="00BF34B6" w:rsidRPr="00D51C66" w:rsidTr="00BF34B6">
        <w:trPr>
          <w:trHeight w:val="255"/>
          <w:jc w:val="center"/>
        </w:trPr>
        <w:tc>
          <w:tcPr>
            <w:cnfStyle w:val="001000000000"/>
            <w:tcW w:w="1300" w:type="dxa"/>
            <w:shd w:val="clear" w:color="auto" w:fill="auto"/>
            <w:vAlign w:val="center"/>
          </w:tcPr>
          <w:p w:rsidR="00BF34B6" w:rsidRPr="00C968F8" w:rsidRDefault="00BF34B6" w:rsidP="001F0251">
            <w:pPr>
              <w:adjustRightInd w:val="0"/>
              <w:snapToGrid w:val="0"/>
              <w:ind w:firstLineChars="0" w:firstLine="0"/>
              <w:rPr>
                <w:rFonts w:eastAsia="MS PGothic"/>
                <w:b w:val="0"/>
                <w:i/>
                <w:sz w:val="18"/>
                <w:szCs w:val="18"/>
              </w:rPr>
            </w:pPr>
            <w:r w:rsidRPr="00C968F8">
              <w:rPr>
                <w:rFonts w:eastAsia="MS PGothic"/>
                <w:b w:val="0"/>
                <w:i/>
                <w:sz w:val="18"/>
                <w:szCs w:val="18"/>
              </w:rPr>
              <w:t>High rd</w:t>
            </w:r>
          </w:p>
        </w:tc>
        <w:tc>
          <w:tcPr>
            <w:cnfStyle w:val="000010000000"/>
            <w:tcW w:w="874" w:type="dxa"/>
            <w:shd w:val="clear" w:color="auto" w:fill="auto"/>
            <w:vAlign w:val="center"/>
          </w:tcPr>
          <w:p w:rsidR="00BF34B6" w:rsidRPr="00BF34B6" w:rsidRDefault="006072A1" w:rsidP="001F0251">
            <w:pPr>
              <w:adjustRightInd w:val="0"/>
              <w:snapToGrid w:val="0"/>
              <w:ind w:firstLineChars="0" w:firstLine="0"/>
              <w:rPr>
                <w:rFonts w:eastAsiaTheme="minorEastAsia"/>
                <w:sz w:val="18"/>
                <w:szCs w:val="18"/>
                <w:lang w:eastAsia="zh-CN"/>
              </w:rPr>
            </w:pPr>
            <w:r>
              <w:rPr>
                <w:rFonts w:eastAsiaTheme="minorEastAsia" w:hint="eastAsia"/>
                <w:sz w:val="18"/>
                <w:szCs w:val="18"/>
                <w:lang w:eastAsia="zh-CN"/>
              </w:rPr>
              <w:t>-</w:t>
            </w:r>
          </w:p>
        </w:tc>
        <w:tc>
          <w:tcPr>
            <w:tcW w:w="903" w:type="dxa"/>
            <w:shd w:val="clear" w:color="auto" w:fill="auto"/>
            <w:vAlign w:val="center"/>
          </w:tcPr>
          <w:p w:rsidR="00BF34B6" w:rsidRPr="00D51C66" w:rsidRDefault="00BF34B6" w:rsidP="001F0251">
            <w:pPr>
              <w:tabs>
                <w:tab w:val="decimal" w:pos="272"/>
              </w:tabs>
              <w:adjustRightInd w:val="0"/>
              <w:snapToGrid w:val="0"/>
              <w:ind w:firstLineChars="0" w:firstLine="0"/>
              <w:cnfStyle w:val="000000000000"/>
              <w:rPr>
                <w:rFonts w:eastAsia="MS PGothic"/>
                <w:sz w:val="18"/>
                <w:szCs w:val="18"/>
              </w:rPr>
            </w:pPr>
            <w:r w:rsidRPr="00D51C66">
              <w:rPr>
                <w:rFonts w:eastAsia="MS PGothic"/>
                <w:sz w:val="18"/>
                <w:szCs w:val="18"/>
              </w:rPr>
              <w:t>-1.270</w:t>
            </w:r>
          </w:p>
        </w:tc>
        <w:tc>
          <w:tcPr>
            <w:cnfStyle w:val="000010000000"/>
            <w:tcW w:w="903" w:type="dxa"/>
            <w:shd w:val="clear" w:color="auto" w:fill="auto"/>
            <w:vAlign w:val="center"/>
          </w:tcPr>
          <w:p w:rsidR="00BF34B6" w:rsidRPr="00677F83" w:rsidRDefault="00BF34B6" w:rsidP="001F0251">
            <w:pPr>
              <w:tabs>
                <w:tab w:val="decimal" w:pos="170"/>
              </w:tabs>
              <w:adjustRightInd w:val="0"/>
              <w:snapToGrid w:val="0"/>
              <w:ind w:firstLineChars="0" w:firstLine="0"/>
              <w:rPr>
                <w:rFonts w:eastAsiaTheme="minorEastAsia"/>
                <w:sz w:val="18"/>
                <w:szCs w:val="18"/>
              </w:rPr>
            </w:pPr>
            <w:r w:rsidRPr="00677F83">
              <w:rPr>
                <w:rFonts w:eastAsiaTheme="minorEastAsia"/>
                <w:sz w:val="18"/>
                <w:szCs w:val="18"/>
              </w:rPr>
              <w:t>-0.97</w:t>
            </w:r>
          </w:p>
        </w:tc>
        <w:tc>
          <w:tcPr>
            <w:tcW w:w="155" w:type="dxa"/>
            <w:tcBorders>
              <w:left w:val="nil"/>
            </w:tcBorders>
            <w:shd w:val="clear" w:color="auto" w:fill="auto"/>
            <w:vAlign w:val="center"/>
          </w:tcPr>
          <w:p w:rsidR="00BF34B6" w:rsidRPr="00D51C66" w:rsidRDefault="00BF34B6" w:rsidP="001F0251">
            <w:pPr>
              <w:adjustRightInd w:val="0"/>
              <w:snapToGrid w:val="0"/>
              <w:ind w:firstLineChars="0" w:firstLine="0"/>
              <w:cnfStyle w:val="000000000000"/>
              <w:rPr>
                <w:rFonts w:eastAsia="MS PGothic"/>
                <w:sz w:val="18"/>
                <w:szCs w:val="18"/>
              </w:rPr>
            </w:pPr>
          </w:p>
        </w:tc>
        <w:tc>
          <w:tcPr>
            <w:cnfStyle w:val="000010000000"/>
            <w:tcW w:w="839" w:type="dxa"/>
            <w:shd w:val="clear" w:color="auto" w:fill="auto"/>
            <w:vAlign w:val="center"/>
          </w:tcPr>
          <w:p w:rsidR="00BF34B6" w:rsidRPr="00677F83" w:rsidRDefault="00BF34B6" w:rsidP="001F0251">
            <w:pPr>
              <w:tabs>
                <w:tab w:val="decimal" w:pos="272"/>
              </w:tabs>
              <w:adjustRightInd w:val="0"/>
              <w:snapToGrid w:val="0"/>
              <w:ind w:firstLineChars="0" w:firstLine="0"/>
              <w:rPr>
                <w:rFonts w:eastAsiaTheme="minorEastAsia"/>
                <w:sz w:val="18"/>
                <w:szCs w:val="18"/>
                <w:lang w:eastAsia="zh-CN"/>
              </w:rPr>
            </w:pPr>
          </w:p>
        </w:tc>
        <w:tc>
          <w:tcPr>
            <w:tcW w:w="840" w:type="dxa"/>
            <w:tcBorders>
              <w:right w:val="nil"/>
            </w:tcBorders>
            <w:shd w:val="clear" w:color="auto" w:fill="auto"/>
            <w:vAlign w:val="center"/>
          </w:tcPr>
          <w:p w:rsidR="00BF34B6" w:rsidRPr="00677F83" w:rsidRDefault="00BF34B6" w:rsidP="001F0251">
            <w:pPr>
              <w:tabs>
                <w:tab w:val="decimal" w:pos="170"/>
              </w:tabs>
              <w:adjustRightInd w:val="0"/>
              <w:snapToGrid w:val="0"/>
              <w:ind w:firstLineChars="0" w:firstLine="0"/>
              <w:cnfStyle w:val="000000000000"/>
              <w:rPr>
                <w:rFonts w:eastAsiaTheme="minorEastAsia"/>
                <w:sz w:val="18"/>
                <w:szCs w:val="18"/>
                <w:lang w:eastAsia="zh-CN"/>
              </w:rPr>
            </w:pPr>
          </w:p>
        </w:tc>
        <w:tc>
          <w:tcPr>
            <w:cnfStyle w:val="000010000000"/>
            <w:tcW w:w="164" w:type="dxa"/>
            <w:shd w:val="clear" w:color="auto" w:fill="auto"/>
            <w:vAlign w:val="center"/>
          </w:tcPr>
          <w:p w:rsidR="00BF34B6" w:rsidRPr="00D51C66" w:rsidRDefault="00BF34B6" w:rsidP="001F0251">
            <w:pPr>
              <w:adjustRightInd w:val="0"/>
              <w:snapToGrid w:val="0"/>
              <w:ind w:firstLineChars="0" w:firstLine="0"/>
              <w:rPr>
                <w:rFonts w:eastAsia="MS PGothic"/>
                <w:sz w:val="18"/>
                <w:szCs w:val="18"/>
              </w:rPr>
            </w:pPr>
          </w:p>
        </w:tc>
        <w:tc>
          <w:tcPr>
            <w:tcW w:w="850" w:type="dxa"/>
            <w:shd w:val="clear" w:color="auto" w:fill="auto"/>
            <w:vAlign w:val="center"/>
          </w:tcPr>
          <w:p w:rsidR="00BF34B6" w:rsidRPr="00D51C66" w:rsidRDefault="00BF34B6" w:rsidP="001F0251">
            <w:pPr>
              <w:tabs>
                <w:tab w:val="decimal" w:pos="272"/>
              </w:tabs>
              <w:adjustRightInd w:val="0"/>
              <w:snapToGrid w:val="0"/>
              <w:ind w:firstLineChars="0" w:firstLine="0"/>
              <w:cnfStyle w:val="000000000000"/>
              <w:rPr>
                <w:rFonts w:eastAsia="MS PGothic"/>
                <w:sz w:val="18"/>
                <w:szCs w:val="18"/>
              </w:rPr>
            </w:pPr>
            <w:r w:rsidRPr="00D51C66">
              <w:rPr>
                <w:rFonts w:eastAsia="MS PGothic"/>
                <w:sz w:val="18"/>
                <w:szCs w:val="18"/>
              </w:rPr>
              <w:t>-1.016</w:t>
            </w:r>
          </w:p>
        </w:tc>
        <w:tc>
          <w:tcPr>
            <w:cnfStyle w:val="000010000000"/>
            <w:tcW w:w="851" w:type="dxa"/>
            <w:shd w:val="clear" w:color="auto" w:fill="auto"/>
            <w:vAlign w:val="center"/>
          </w:tcPr>
          <w:p w:rsidR="00BF34B6" w:rsidRPr="00677F83" w:rsidRDefault="00BF34B6" w:rsidP="001F0251">
            <w:pPr>
              <w:tabs>
                <w:tab w:val="decimal" w:pos="170"/>
              </w:tabs>
              <w:adjustRightInd w:val="0"/>
              <w:snapToGrid w:val="0"/>
              <w:ind w:firstLineChars="0" w:firstLine="0"/>
              <w:rPr>
                <w:rFonts w:eastAsiaTheme="minorEastAsia"/>
                <w:sz w:val="18"/>
                <w:szCs w:val="18"/>
                <w:lang w:eastAsia="zh-CN"/>
              </w:rPr>
            </w:pPr>
            <w:r w:rsidRPr="00677F83">
              <w:rPr>
                <w:rFonts w:eastAsiaTheme="minorEastAsia"/>
                <w:sz w:val="18"/>
                <w:szCs w:val="18"/>
              </w:rPr>
              <w:t>-0.7</w:t>
            </w:r>
            <w:r w:rsidR="00FD3DF3">
              <w:rPr>
                <w:rFonts w:eastAsiaTheme="minorEastAsia" w:hint="eastAsia"/>
                <w:sz w:val="18"/>
                <w:szCs w:val="18"/>
                <w:lang w:eastAsia="zh-CN"/>
              </w:rPr>
              <w:t>0</w:t>
            </w:r>
          </w:p>
        </w:tc>
        <w:tc>
          <w:tcPr>
            <w:tcW w:w="142" w:type="dxa"/>
            <w:tcBorders>
              <w:left w:val="nil"/>
            </w:tcBorders>
            <w:shd w:val="clear" w:color="auto" w:fill="auto"/>
            <w:vAlign w:val="center"/>
          </w:tcPr>
          <w:p w:rsidR="00BF34B6" w:rsidRPr="00D51C66" w:rsidRDefault="00BF34B6" w:rsidP="001F0251">
            <w:pPr>
              <w:adjustRightInd w:val="0"/>
              <w:snapToGrid w:val="0"/>
              <w:ind w:firstLineChars="0" w:firstLine="0"/>
              <w:cnfStyle w:val="000000000000"/>
              <w:rPr>
                <w:rFonts w:eastAsia="MS PGothic"/>
                <w:sz w:val="18"/>
                <w:szCs w:val="18"/>
              </w:rPr>
            </w:pPr>
          </w:p>
        </w:tc>
        <w:tc>
          <w:tcPr>
            <w:cnfStyle w:val="000010000000"/>
            <w:tcW w:w="819" w:type="dxa"/>
            <w:shd w:val="clear" w:color="auto" w:fill="auto"/>
            <w:vAlign w:val="center"/>
          </w:tcPr>
          <w:p w:rsidR="00BF34B6" w:rsidRPr="00677F83" w:rsidRDefault="00BF34B6" w:rsidP="001F0251">
            <w:pPr>
              <w:tabs>
                <w:tab w:val="decimal" w:pos="244"/>
              </w:tabs>
              <w:adjustRightInd w:val="0"/>
              <w:snapToGrid w:val="0"/>
              <w:ind w:firstLineChars="0" w:firstLine="0"/>
              <w:rPr>
                <w:rFonts w:eastAsia="MS PGothic"/>
                <w:sz w:val="18"/>
                <w:szCs w:val="18"/>
              </w:rPr>
            </w:pPr>
            <w:r w:rsidRPr="00677F83">
              <w:rPr>
                <w:rFonts w:eastAsia="MS PGothic"/>
                <w:sz w:val="18"/>
                <w:szCs w:val="18"/>
              </w:rPr>
              <w:t>-0.715</w:t>
            </w:r>
          </w:p>
        </w:tc>
        <w:tc>
          <w:tcPr>
            <w:tcW w:w="820" w:type="dxa"/>
            <w:shd w:val="clear" w:color="auto" w:fill="auto"/>
            <w:vAlign w:val="center"/>
          </w:tcPr>
          <w:p w:rsidR="00BF34B6" w:rsidRPr="00677F83" w:rsidRDefault="00BF34B6" w:rsidP="001F0251">
            <w:pPr>
              <w:tabs>
                <w:tab w:val="decimal" w:pos="170"/>
              </w:tabs>
              <w:adjustRightInd w:val="0"/>
              <w:snapToGrid w:val="0"/>
              <w:ind w:firstLineChars="0" w:firstLine="0"/>
              <w:cnfStyle w:val="000000000000"/>
              <w:rPr>
                <w:rFonts w:eastAsiaTheme="minorEastAsia"/>
                <w:sz w:val="18"/>
                <w:szCs w:val="18"/>
              </w:rPr>
            </w:pPr>
            <w:r w:rsidRPr="00677F83">
              <w:rPr>
                <w:rFonts w:eastAsiaTheme="minorEastAsia"/>
                <w:sz w:val="18"/>
                <w:szCs w:val="18"/>
              </w:rPr>
              <w:t>-0.53</w:t>
            </w:r>
          </w:p>
        </w:tc>
      </w:tr>
      <w:tr w:rsidR="00BF34B6" w:rsidRPr="00D51C66" w:rsidTr="00BF34B6">
        <w:trPr>
          <w:cnfStyle w:val="000000100000"/>
          <w:trHeight w:val="255"/>
          <w:jc w:val="center"/>
        </w:trPr>
        <w:tc>
          <w:tcPr>
            <w:cnfStyle w:val="001000000000"/>
            <w:tcW w:w="1300" w:type="dxa"/>
            <w:shd w:val="clear" w:color="auto" w:fill="auto"/>
            <w:vAlign w:val="center"/>
          </w:tcPr>
          <w:p w:rsidR="00BF34B6" w:rsidRPr="00D51C66" w:rsidRDefault="00BF34B6" w:rsidP="001F0251">
            <w:pPr>
              <w:adjustRightInd w:val="0"/>
              <w:snapToGrid w:val="0"/>
              <w:ind w:firstLineChars="0" w:firstLine="0"/>
              <w:rPr>
                <w:rFonts w:eastAsia="MS PGothic"/>
                <w:b w:val="0"/>
                <w:sz w:val="18"/>
                <w:szCs w:val="18"/>
              </w:rPr>
            </w:pPr>
            <w:r w:rsidRPr="00C968F8">
              <w:rPr>
                <w:rFonts w:eastAsia="MS PGothic"/>
                <w:b w:val="0"/>
                <w:i/>
                <w:sz w:val="18"/>
                <w:szCs w:val="18"/>
              </w:rPr>
              <w:t>High</w:t>
            </w:r>
            <w:r w:rsidRPr="00D51C66">
              <w:rPr>
                <w:rFonts w:eastAsia="MS PGothic"/>
                <w:b w:val="0"/>
                <w:sz w:val="18"/>
                <w:szCs w:val="18"/>
              </w:rPr>
              <w:t xml:space="preserve"> </w:t>
            </w:r>
            <w:r w:rsidRPr="00C968F8">
              <w:rPr>
                <w:rFonts w:eastAsia="MS PGothic"/>
                <w:b w:val="0"/>
                <w:i/>
                <w:sz w:val="18"/>
                <w:szCs w:val="18"/>
              </w:rPr>
              <w:t>advertise</w:t>
            </w:r>
          </w:p>
        </w:tc>
        <w:tc>
          <w:tcPr>
            <w:cnfStyle w:val="000010000000"/>
            <w:tcW w:w="874" w:type="dxa"/>
            <w:shd w:val="clear" w:color="auto" w:fill="auto"/>
            <w:vAlign w:val="center"/>
          </w:tcPr>
          <w:p w:rsidR="00BF34B6" w:rsidRPr="00D51C66" w:rsidRDefault="00BF34B6" w:rsidP="001F0251">
            <w:pPr>
              <w:adjustRightInd w:val="0"/>
              <w:snapToGrid w:val="0"/>
              <w:ind w:firstLineChars="0" w:firstLine="0"/>
              <w:rPr>
                <w:rFonts w:eastAsia="MS PGothic"/>
                <w:sz w:val="18"/>
                <w:szCs w:val="18"/>
              </w:rPr>
            </w:pPr>
            <w:r w:rsidRPr="00D51C66">
              <w:rPr>
                <w:rFonts w:eastAsia="MS PGothic"/>
                <w:sz w:val="18"/>
                <w:szCs w:val="18"/>
              </w:rPr>
              <w:t>+</w:t>
            </w:r>
          </w:p>
        </w:tc>
        <w:tc>
          <w:tcPr>
            <w:tcW w:w="903" w:type="dxa"/>
            <w:shd w:val="clear" w:color="auto" w:fill="auto"/>
            <w:vAlign w:val="center"/>
          </w:tcPr>
          <w:p w:rsidR="00BF34B6" w:rsidRPr="00D51C66" w:rsidRDefault="00BF34B6" w:rsidP="001F0251">
            <w:pPr>
              <w:tabs>
                <w:tab w:val="decimal" w:pos="272"/>
              </w:tabs>
              <w:adjustRightInd w:val="0"/>
              <w:snapToGrid w:val="0"/>
              <w:ind w:firstLineChars="0" w:firstLine="0"/>
              <w:cnfStyle w:val="000000100000"/>
              <w:rPr>
                <w:rFonts w:eastAsia="MS PGothic"/>
                <w:sz w:val="18"/>
                <w:szCs w:val="18"/>
              </w:rPr>
            </w:pPr>
            <w:r w:rsidRPr="00D51C66">
              <w:rPr>
                <w:rFonts w:eastAsia="MS PGothic"/>
                <w:sz w:val="18"/>
                <w:szCs w:val="18"/>
              </w:rPr>
              <w:t>1.452</w:t>
            </w:r>
          </w:p>
        </w:tc>
        <w:tc>
          <w:tcPr>
            <w:cnfStyle w:val="000010000000"/>
            <w:tcW w:w="903" w:type="dxa"/>
            <w:shd w:val="clear" w:color="auto" w:fill="auto"/>
            <w:vAlign w:val="center"/>
          </w:tcPr>
          <w:p w:rsidR="00BF34B6" w:rsidRPr="00677F83" w:rsidRDefault="00BF34B6" w:rsidP="001F0251">
            <w:pPr>
              <w:tabs>
                <w:tab w:val="decimal" w:pos="170"/>
              </w:tabs>
              <w:adjustRightInd w:val="0"/>
              <w:snapToGrid w:val="0"/>
              <w:ind w:firstLineChars="0" w:firstLine="0"/>
              <w:rPr>
                <w:rFonts w:eastAsiaTheme="minorEastAsia"/>
                <w:sz w:val="18"/>
                <w:szCs w:val="18"/>
              </w:rPr>
            </w:pPr>
            <w:r w:rsidRPr="00677F83">
              <w:rPr>
                <w:rFonts w:eastAsiaTheme="minorEastAsia"/>
                <w:sz w:val="18"/>
                <w:szCs w:val="18"/>
              </w:rPr>
              <w:t>1.51</w:t>
            </w:r>
          </w:p>
        </w:tc>
        <w:tc>
          <w:tcPr>
            <w:tcW w:w="155" w:type="dxa"/>
            <w:shd w:val="clear" w:color="auto" w:fill="auto"/>
            <w:vAlign w:val="center"/>
          </w:tcPr>
          <w:p w:rsidR="00BF34B6" w:rsidRPr="00D51C66" w:rsidRDefault="00BF34B6" w:rsidP="001F0251">
            <w:pPr>
              <w:adjustRightInd w:val="0"/>
              <w:snapToGrid w:val="0"/>
              <w:ind w:firstLineChars="0" w:firstLine="0"/>
              <w:cnfStyle w:val="000000100000"/>
              <w:rPr>
                <w:rFonts w:eastAsia="MS PGothic"/>
                <w:sz w:val="18"/>
                <w:szCs w:val="18"/>
              </w:rPr>
            </w:pPr>
          </w:p>
        </w:tc>
        <w:tc>
          <w:tcPr>
            <w:cnfStyle w:val="000010000000"/>
            <w:tcW w:w="839" w:type="dxa"/>
            <w:shd w:val="clear" w:color="auto" w:fill="auto"/>
            <w:vAlign w:val="center"/>
          </w:tcPr>
          <w:p w:rsidR="00BF34B6" w:rsidRPr="00D51C66" w:rsidRDefault="00BF34B6" w:rsidP="001F0251">
            <w:pPr>
              <w:tabs>
                <w:tab w:val="decimal" w:pos="272"/>
              </w:tabs>
              <w:adjustRightInd w:val="0"/>
              <w:snapToGrid w:val="0"/>
              <w:ind w:firstLineChars="0" w:firstLine="0"/>
              <w:rPr>
                <w:rFonts w:eastAsia="MS PGothic"/>
                <w:sz w:val="18"/>
                <w:szCs w:val="18"/>
              </w:rPr>
            </w:pPr>
            <w:r w:rsidRPr="00D51C66">
              <w:rPr>
                <w:rFonts w:eastAsia="MS PGothic"/>
                <w:sz w:val="18"/>
                <w:szCs w:val="18"/>
              </w:rPr>
              <w:t>1.228</w:t>
            </w:r>
          </w:p>
        </w:tc>
        <w:tc>
          <w:tcPr>
            <w:tcW w:w="840" w:type="dxa"/>
            <w:shd w:val="clear" w:color="auto" w:fill="auto"/>
            <w:vAlign w:val="center"/>
          </w:tcPr>
          <w:p w:rsidR="00BF34B6" w:rsidRPr="00677F83" w:rsidRDefault="00BF34B6" w:rsidP="001F0251">
            <w:pPr>
              <w:tabs>
                <w:tab w:val="decimal" w:pos="170"/>
              </w:tabs>
              <w:adjustRightInd w:val="0"/>
              <w:snapToGrid w:val="0"/>
              <w:ind w:firstLineChars="0" w:firstLine="0"/>
              <w:cnfStyle w:val="000000100000"/>
              <w:rPr>
                <w:rFonts w:eastAsiaTheme="minorEastAsia"/>
                <w:sz w:val="18"/>
                <w:szCs w:val="18"/>
              </w:rPr>
            </w:pPr>
            <w:r w:rsidRPr="00677F83">
              <w:rPr>
                <w:rFonts w:eastAsiaTheme="minorEastAsia"/>
                <w:sz w:val="18"/>
                <w:szCs w:val="18"/>
              </w:rPr>
              <w:t>1.27</w:t>
            </w:r>
          </w:p>
        </w:tc>
        <w:tc>
          <w:tcPr>
            <w:cnfStyle w:val="000010000000"/>
            <w:tcW w:w="164" w:type="dxa"/>
            <w:shd w:val="clear" w:color="auto" w:fill="auto"/>
            <w:vAlign w:val="center"/>
          </w:tcPr>
          <w:p w:rsidR="00BF34B6" w:rsidRPr="00D51C66" w:rsidRDefault="00BF34B6" w:rsidP="001F0251">
            <w:pPr>
              <w:adjustRightInd w:val="0"/>
              <w:snapToGrid w:val="0"/>
              <w:ind w:firstLineChars="0" w:firstLine="0"/>
              <w:rPr>
                <w:rFonts w:eastAsia="MS PGothic"/>
                <w:sz w:val="18"/>
                <w:szCs w:val="18"/>
              </w:rPr>
            </w:pPr>
          </w:p>
        </w:tc>
        <w:tc>
          <w:tcPr>
            <w:tcW w:w="850" w:type="dxa"/>
            <w:shd w:val="clear" w:color="auto" w:fill="auto"/>
            <w:vAlign w:val="center"/>
          </w:tcPr>
          <w:p w:rsidR="00BF34B6" w:rsidRPr="00D51C66" w:rsidRDefault="00BF34B6" w:rsidP="001F0251">
            <w:pPr>
              <w:tabs>
                <w:tab w:val="decimal" w:pos="272"/>
              </w:tabs>
              <w:adjustRightInd w:val="0"/>
              <w:snapToGrid w:val="0"/>
              <w:ind w:firstLineChars="0" w:firstLine="0"/>
              <w:cnfStyle w:val="000000100000"/>
              <w:rPr>
                <w:rFonts w:eastAsia="MS PGothic"/>
                <w:sz w:val="18"/>
                <w:szCs w:val="18"/>
              </w:rPr>
            </w:pPr>
            <w:r w:rsidRPr="00D51C66">
              <w:rPr>
                <w:rFonts w:eastAsia="MS PGothic"/>
                <w:sz w:val="18"/>
                <w:szCs w:val="18"/>
              </w:rPr>
              <w:t>2.373</w:t>
            </w:r>
          </w:p>
        </w:tc>
        <w:tc>
          <w:tcPr>
            <w:cnfStyle w:val="000010000000"/>
            <w:tcW w:w="851" w:type="dxa"/>
            <w:shd w:val="clear" w:color="auto" w:fill="auto"/>
            <w:vAlign w:val="center"/>
          </w:tcPr>
          <w:p w:rsidR="00BF34B6" w:rsidRPr="00677F83" w:rsidRDefault="00BF34B6" w:rsidP="001F0251">
            <w:pPr>
              <w:tabs>
                <w:tab w:val="decimal" w:pos="170"/>
              </w:tabs>
              <w:adjustRightInd w:val="0"/>
              <w:snapToGrid w:val="0"/>
              <w:ind w:firstLineChars="0" w:firstLine="0"/>
              <w:rPr>
                <w:rFonts w:eastAsiaTheme="minorEastAsia"/>
                <w:sz w:val="18"/>
                <w:szCs w:val="18"/>
              </w:rPr>
            </w:pPr>
            <w:r w:rsidRPr="00677F83">
              <w:rPr>
                <w:rFonts w:eastAsiaTheme="minorEastAsia"/>
                <w:sz w:val="18"/>
                <w:szCs w:val="18"/>
              </w:rPr>
              <w:t>2.59</w:t>
            </w:r>
            <w:r w:rsidR="00677F83" w:rsidRPr="00677F83">
              <w:rPr>
                <w:rFonts w:eastAsiaTheme="minorEastAsia"/>
                <w:sz w:val="18"/>
                <w:szCs w:val="18"/>
                <w:vertAlign w:val="superscript"/>
              </w:rPr>
              <w:t>***</w:t>
            </w:r>
          </w:p>
        </w:tc>
        <w:tc>
          <w:tcPr>
            <w:tcW w:w="142" w:type="dxa"/>
            <w:shd w:val="clear" w:color="auto" w:fill="auto"/>
            <w:vAlign w:val="center"/>
          </w:tcPr>
          <w:p w:rsidR="00BF34B6" w:rsidRPr="00D51C66" w:rsidRDefault="00BF34B6" w:rsidP="001F0251">
            <w:pPr>
              <w:adjustRightInd w:val="0"/>
              <w:snapToGrid w:val="0"/>
              <w:ind w:firstLineChars="0" w:firstLine="0"/>
              <w:cnfStyle w:val="000000100000"/>
              <w:rPr>
                <w:rFonts w:eastAsia="MS PGothic"/>
                <w:sz w:val="18"/>
                <w:szCs w:val="18"/>
              </w:rPr>
            </w:pPr>
          </w:p>
        </w:tc>
        <w:tc>
          <w:tcPr>
            <w:cnfStyle w:val="000010000000"/>
            <w:tcW w:w="819" w:type="dxa"/>
            <w:shd w:val="clear" w:color="auto" w:fill="auto"/>
            <w:vAlign w:val="center"/>
          </w:tcPr>
          <w:p w:rsidR="00BF34B6" w:rsidRPr="00677F83" w:rsidRDefault="00BF34B6" w:rsidP="001F0251">
            <w:pPr>
              <w:tabs>
                <w:tab w:val="decimal" w:pos="244"/>
              </w:tabs>
              <w:adjustRightInd w:val="0"/>
              <w:snapToGrid w:val="0"/>
              <w:ind w:firstLineChars="0" w:firstLine="0"/>
              <w:rPr>
                <w:rFonts w:eastAsia="MS PGothic"/>
                <w:sz w:val="18"/>
                <w:szCs w:val="18"/>
              </w:rPr>
            </w:pPr>
            <w:r w:rsidRPr="00677F83">
              <w:rPr>
                <w:rFonts w:eastAsia="MS PGothic"/>
                <w:sz w:val="18"/>
                <w:szCs w:val="18"/>
              </w:rPr>
              <w:t>2.508</w:t>
            </w:r>
          </w:p>
        </w:tc>
        <w:tc>
          <w:tcPr>
            <w:tcW w:w="820" w:type="dxa"/>
            <w:shd w:val="clear" w:color="auto" w:fill="auto"/>
            <w:vAlign w:val="center"/>
          </w:tcPr>
          <w:p w:rsidR="00BF34B6" w:rsidRPr="00677F83" w:rsidRDefault="00BF34B6" w:rsidP="001F0251">
            <w:pPr>
              <w:tabs>
                <w:tab w:val="decimal" w:pos="170"/>
              </w:tabs>
              <w:adjustRightInd w:val="0"/>
              <w:snapToGrid w:val="0"/>
              <w:ind w:firstLineChars="0" w:firstLine="0"/>
              <w:cnfStyle w:val="000000100000"/>
              <w:rPr>
                <w:rFonts w:eastAsiaTheme="minorEastAsia"/>
                <w:sz w:val="18"/>
                <w:szCs w:val="18"/>
              </w:rPr>
            </w:pPr>
            <w:r w:rsidRPr="00677F83">
              <w:rPr>
                <w:rFonts w:eastAsiaTheme="minorEastAsia"/>
                <w:sz w:val="18"/>
                <w:szCs w:val="18"/>
              </w:rPr>
              <w:t>2.97</w:t>
            </w:r>
            <w:r w:rsidR="00677F83" w:rsidRPr="00677F83">
              <w:rPr>
                <w:rFonts w:eastAsiaTheme="minorEastAsia"/>
                <w:sz w:val="18"/>
                <w:szCs w:val="18"/>
                <w:vertAlign w:val="superscript"/>
              </w:rPr>
              <w:t>***</w:t>
            </w:r>
          </w:p>
        </w:tc>
      </w:tr>
      <w:tr w:rsidR="00BF34B6" w:rsidRPr="00D51C66" w:rsidTr="00BF34B6">
        <w:trPr>
          <w:trHeight w:val="255"/>
          <w:jc w:val="center"/>
        </w:trPr>
        <w:tc>
          <w:tcPr>
            <w:cnfStyle w:val="001000000000"/>
            <w:tcW w:w="1300" w:type="dxa"/>
            <w:shd w:val="clear" w:color="auto" w:fill="auto"/>
            <w:vAlign w:val="center"/>
          </w:tcPr>
          <w:p w:rsidR="00BF34B6" w:rsidRPr="00BF34B6" w:rsidRDefault="00BF34B6" w:rsidP="001F0251">
            <w:pPr>
              <w:adjustRightInd w:val="0"/>
              <w:snapToGrid w:val="0"/>
              <w:ind w:firstLineChars="0" w:firstLine="0"/>
              <w:rPr>
                <w:rFonts w:eastAsia="MS PGothic"/>
                <w:b w:val="0"/>
                <w:i/>
                <w:sz w:val="18"/>
                <w:szCs w:val="18"/>
              </w:rPr>
            </w:pPr>
            <w:r w:rsidRPr="00BF34B6">
              <w:rPr>
                <w:rFonts w:eastAsia="MS PGothic"/>
                <w:b w:val="0"/>
                <w:i/>
                <w:sz w:val="18"/>
                <w:szCs w:val="18"/>
              </w:rPr>
              <w:t>Compensation</w:t>
            </w:r>
          </w:p>
        </w:tc>
        <w:tc>
          <w:tcPr>
            <w:cnfStyle w:val="000010000000"/>
            <w:tcW w:w="874" w:type="dxa"/>
            <w:shd w:val="clear" w:color="auto" w:fill="auto"/>
            <w:vAlign w:val="center"/>
          </w:tcPr>
          <w:p w:rsidR="00BF34B6" w:rsidRPr="00D51C66" w:rsidRDefault="00BF34B6" w:rsidP="001F0251">
            <w:pPr>
              <w:adjustRightInd w:val="0"/>
              <w:snapToGrid w:val="0"/>
              <w:ind w:firstLineChars="0" w:firstLine="0"/>
              <w:rPr>
                <w:rFonts w:eastAsia="MS PGothic"/>
                <w:sz w:val="18"/>
                <w:szCs w:val="18"/>
              </w:rPr>
            </w:pPr>
            <w:r w:rsidRPr="00D51C66">
              <w:rPr>
                <w:rFonts w:eastAsia="MS PGothic"/>
                <w:sz w:val="18"/>
                <w:szCs w:val="18"/>
              </w:rPr>
              <w:t>+</w:t>
            </w:r>
          </w:p>
        </w:tc>
        <w:tc>
          <w:tcPr>
            <w:tcW w:w="903" w:type="dxa"/>
            <w:shd w:val="clear" w:color="auto" w:fill="auto"/>
            <w:vAlign w:val="center"/>
          </w:tcPr>
          <w:p w:rsidR="00BF34B6" w:rsidRPr="00D51C66" w:rsidRDefault="00BF34B6" w:rsidP="001F0251">
            <w:pPr>
              <w:tabs>
                <w:tab w:val="decimal" w:pos="272"/>
              </w:tabs>
              <w:adjustRightInd w:val="0"/>
              <w:snapToGrid w:val="0"/>
              <w:ind w:firstLineChars="0" w:firstLine="0"/>
              <w:cnfStyle w:val="000000000000"/>
              <w:rPr>
                <w:rFonts w:eastAsia="MS PGothic"/>
                <w:sz w:val="18"/>
                <w:szCs w:val="18"/>
              </w:rPr>
            </w:pPr>
            <w:r w:rsidRPr="00D51C66">
              <w:rPr>
                <w:rFonts w:eastAsia="MS PGothic"/>
                <w:sz w:val="18"/>
                <w:szCs w:val="18"/>
              </w:rPr>
              <w:t>428.513</w:t>
            </w:r>
          </w:p>
        </w:tc>
        <w:tc>
          <w:tcPr>
            <w:cnfStyle w:val="000010000000"/>
            <w:tcW w:w="903" w:type="dxa"/>
            <w:shd w:val="clear" w:color="auto" w:fill="auto"/>
            <w:vAlign w:val="center"/>
          </w:tcPr>
          <w:p w:rsidR="00BF34B6" w:rsidRPr="00677F83" w:rsidRDefault="00BF34B6" w:rsidP="001F0251">
            <w:pPr>
              <w:tabs>
                <w:tab w:val="decimal" w:pos="170"/>
              </w:tabs>
              <w:adjustRightInd w:val="0"/>
              <w:snapToGrid w:val="0"/>
              <w:ind w:firstLineChars="0" w:firstLine="0"/>
              <w:rPr>
                <w:rFonts w:eastAsiaTheme="minorEastAsia"/>
                <w:sz w:val="18"/>
                <w:szCs w:val="18"/>
              </w:rPr>
            </w:pPr>
            <w:r w:rsidRPr="00677F83">
              <w:rPr>
                <w:rFonts w:eastAsiaTheme="minorEastAsia"/>
                <w:sz w:val="18"/>
                <w:szCs w:val="18"/>
              </w:rPr>
              <w:t>1.19</w:t>
            </w:r>
          </w:p>
        </w:tc>
        <w:tc>
          <w:tcPr>
            <w:tcW w:w="155" w:type="dxa"/>
            <w:tcBorders>
              <w:left w:val="nil"/>
            </w:tcBorders>
            <w:shd w:val="clear" w:color="auto" w:fill="auto"/>
            <w:vAlign w:val="center"/>
          </w:tcPr>
          <w:p w:rsidR="00BF34B6" w:rsidRPr="00D51C66" w:rsidRDefault="00BF34B6" w:rsidP="001F0251">
            <w:pPr>
              <w:adjustRightInd w:val="0"/>
              <w:snapToGrid w:val="0"/>
              <w:ind w:firstLineChars="0" w:firstLine="0"/>
              <w:cnfStyle w:val="000000000000"/>
              <w:rPr>
                <w:rFonts w:eastAsia="MS PGothic"/>
                <w:sz w:val="18"/>
                <w:szCs w:val="18"/>
              </w:rPr>
            </w:pPr>
          </w:p>
        </w:tc>
        <w:tc>
          <w:tcPr>
            <w:cnfStyle w:val="000010000000"/>
            <w:tcW w:w="839" w:type="dxa"/>
            <w:shd w:val="clear" w:color="auto" w:fill="auto"/>
            <w:vAlign w:val="center"/>
          </w:tcPr>
          <w:p w:rsidR="00BF34B6" w:rsidRPr="00D51C66" w:rsidRDefault="00BF34B6" w:rsidP="001F0251">
            <w:pPr>
              <w:tabs>
                <w:tab w:val="decimal" w:pos="272"/>
              </w:tabs>
              <w:adjustRightInd w:val="0"/>
              <w:snapToGrid w:val="0"/>
              <w:ind w:firstLineChars="0" w:firstLine="0"/>
              <w:rPr>
                <w:rFonts w:eastAsia="MS PGothic"/>
                <w:sz w:val="18"/>
                <w:szCs w:val="18"/>
              </w:rPr>
            </w:pPr>
            <w:r w:rsidRPr="00D51C66">
              <w:rPr>
                <w:rFonts w:eastAsia="MS PGothic"/>
                <w:sz w:val="18"/>
                <w:szCs w:val="18"/>
              </w:rPr>
              <w:t>439.512</w:t>
            </w:r>
          </w:p>
        </w:tc>
        <w:tc>
          <w:tcPr>
            <w:tcW w:w="840" w:type="dxa"/>
            <w:tcBorders>
              <w:right w:val="nil"/>
            </w:tcBorders>
            <w:shd w:val="clear" w:color="auto" w:fill="auto"/>
            <w:vAlign w:val="center"/>
          </w:tcPr>
          <w:p w:rsidR="00BF34B6" w:rsidRPr="00677F83" w:rsidRDefault="00BF34B6" w:rsidP="001F0251">
            <w:pPr>
              <w:tabs>
                <w:tab w:val="decimal" w:pos="170"/>
              </w:tabs>
              <w:adjustRightInd w:val="0"/>
              <w:snapToGrid w:val="0"/>
              <w:ind w:firstLineChars="0" w:firstLine="0"/>
              <w:cnfStyle w:val="000000000000"/>
              <w:rPr>
                <w:rFonts w:eastAsiaTheme="minorEastAsia"/>
                <w:sz w:val="18"/>
                <w:szCs w:val="18"/>
              </w:rPr>
            </w:pPr>
            <w:r w:rsidRPr="00677F83">
              <w:rPr>
                <w:rFonts w:eastAsiaTheme="minorEastAsia"/>
                <w:sz w:val="18"/>
                <w:szCs w:val="18"/>
              </w:rPr>
              <w:t>1.28</w:t>
            </w:r>
          </w:p>
        </w:tc>
        <w:tc>
          <w:tcPr>
            <w:cnfStyle w:val="000010000000"/>
            <w:tcW w:w="164" w:type="dxa"/>
            <w:shd w:val="clear" w:color="auto" w:fill="auto"/>
            <w:vAlign w:val="center"/>
          </w:tcPr>
          <w:p w:rsidR="00BF34B6" w:rsidRPr="00D51C66" w:rsidRDefault="00BF34B6" w:rsidP="001F0251">
            <w:pPr>
              <w:adjustRightInd w:val="0"/>
              <w:snapToGrid w:val="0"/>
              <w:ind w:firstLineChars="0" w:firstLine="0"/>
              <w:rPr>
                <w:rFonts w:eastAsia="MS PGothic"/>
                <w:sz w:val="18"/>
                <w:szCs w:val="18"/>
              </w:rPr>
            </w:pPr>
          </w:p>
        </w:tc>
        <w:tc>
          <w:tcPr>
            <w:tcW w:w="850" w:type="dxa"/>
            <w:shd w:val="clear" w:color="auto" w:fill="auto"/>
            <w:vAlign w:val="center"/>
          </w:tcPr>
          <w:p w:rsidR="00BF34B6" w:rsidRPr="00D51C66" w:rsidRDefault="00BF34B6" w:rsidP="001F0251">
            <w:pPr>
              <w:tabs>
                <w:tab w:val="decimal" w:pos="272"/>
              </w:tabs>
              <w:adjustRightInd w:val="0"/>
              <w:snapToGrid w:val="0"/>
              <w:ind w:firstLineChars="0" w:firstLine="0"/>
              <w:cnfStyle w:val="000000000000"/>
              <w:rPr>
                <w:rFonts w:eastAsia="MS PGothic"/>
                <w:sz w:val="18"/>
                <w:szCs w:val="18"/>
              </w:rPr>
            </w:pPr>
            <w:r w:rsidRPr="00D51C66">
              <w:rPr>
                <w:rFonts w:eastAsia="MS PGothic"/>
                <w:sz w:val="18"/>
                <w:szCs w:val="18"/>
              </w:rPr>
              <w:t>313.793</w:t>
            </w:r>
          </w:p>
        </w:tc>
        <w:tc>
          <w:tcPr>
            <w:cnfStyle w:val="000010000000"/>
            <w:tcW w:w="851" w:type="dxa"/>
            <w:shd w:val="clear" w:color="auto" w:fill="auto"/>
            <w:vAlign w:val="center"/>
          </w:tcPr>
          <w:p w:rsidR="00BF34B6" w:rsidRPr="00677F83" w:rsidRDefault="00BF34B6" w:rsidP="001F0251">
            <w:pPr>
              <w:tabs>
                <w:tab w:val="decimal" w:pos="170"/>
              </w:tabs>
              <w:adjustRightInd w:val="0"/>
              <w:snapToGrid w:val="0"/>
              <w:ind w:firstLineChars="0" w:firstLine="0"/>
              <w:rPr>
                <w:rFonts w:eastAsiaTheme="minorEastAsia"/>
                <w:sz w:val="18"/>
                <w:szCs w:val="18"/>
              </w:rPr>
            </w:pPr>
            <w:r w:rsidRPr="00677F83">
              <w:rPr>
                <w:rFonts w:eastAsiaTheme="minorEastAsia"/>
                <w:sz w:val="18"/>
                <w:szCs w:val="18"/>
              </w:rPr>
              <w:t>0.84</w:t>
            </w:r>
          </w:p>
        </w:tc>
        <w:tc>
          <w:tcPr>
            <w:tcW w:w="142" w:type="dxa"/>
            <w:tcBorders>
              <w:left w:val="nil"/>
            </w:tcBorders>
            <w:shd w:val="clear" w:color="auto" w:fill="auto"/>
            <w:vAlign w:val="center"/>
          </w:tcPr>
          <w:p w:rsidR="00BF34B6" w:rsidRPr="00D51C66" w:rsidRDefault="00BF34B6" w:rsidP="001F0251">
            <w:pPr>
              <w:adjustRightInd w:val="0"/>
              <w:snapToGrid w:val="0"/>
              <w:ind w:firstLineChars="0" w:firstLine="0"/>
              <w:cnfStyle w:val="000000000000"/>
              <w:rPr>
                <w:rFonts w:eastAsia="MS PGothic"/>
                <w:sz w:val="18"/>
                <w:szCs w:val="18"/>
              </w:rPr>
            </w:pPr>
          </w:p>
        </w:tc>
        <w:tc>
          <w:tcPr>
            <w:cnfStyle w:val="000010000000"/>
            <w:tcW w:w="819" w:type="dxa"/>
            <w:shd w:val="clear" w:color="auto" w:fill="auto"/>
            <w:vAlign w:val="center"/>
          </w:tcPr>
          <w:p w:rsidR="00BF34B6" w:rsidRPr="00677F83" w:rsidRDefault="00BF34B6" w:rsidP="001F0251">
            <w:pPr>
              <w:tabs>
                <w:tab w:val="decimal" w:pos="244"/>
              </w:tabs>
              <w:adjustRightInd w:val="0"/>
              <w:snapToGrid w:val="0"/>
              <w:ind w:firstLineChars="0" w:firstLine="0"/>
              <w:rPr>
                <w:rFonts w:eastAsiaTheme="minorEastAsia"/>
                <w:sz w:val="18"/>
                <w:szCs w:val="18"/>
                <w:lang w:eastAsia="zh-CN"/>
              </w:rPr>
            </w:pPr>
          </w:p>
        </w:tc>
        <w:tc>
          <w:tcPr>
            <w:tcW w:w="820" w:type="dxa"/>
            <w:shd w:val="clear" w:color="auto" w:fill="auto"/>
            <w:vAlign w:val="center"/>
          </w:tcPr>
          <w:p w:rsidR="00BF34B6" w:rsidRPr="00677F83" w:rsidRDefault="00BF34B6" w:rsidP="001F0251">
            <w:pPr>
              <w:tabs>
                <w:tab w:val="decimal" w:pos="170"/>
              </w:tabs>
              <w:adjustRightInd w:val="0"/>
              <w:snapToGrid w:val="0"/>
              <w:ind w:firstLineChars="0" w:firstLine="0"/>
              <w:cnfStyle w:val="000000000000"/>
              <w:rPr>
                <w:rFonts w:eastAsiaTheme="minorEastAsia"/>
                <w:sz w:val="18"/>
                <w:szCs w:val="18"/>
                <w:lang w:eastAsia="zh-CN"/>
              </w:rPr>
            </w:pPr>
          </w:p>
        </w:tc>
      </w:tr>
      <w:tr w:rsidR="00BF34B6" w:rsidRPr="00D51C66" w:rsidTr="00BF34B6">
        <w:trPr>
          <w:cnfStyle w:val="000000100000"/>
          <w:trHeight w:val="255"/>
          <w:jc w:val="center"/>
        </w:trPr>
        <w:tc>
          <w:tcPr>
            <w:cnfStyle w:val="001000000000"/>
            <w:tcW w:w="1300" w:type="dxa"/>
            <w:shd w:val="clear" w:color="auto" w:fill="auto"/>
            <w:vAlign w:val="center"/>
          </w:tcPr>
          <w:p w:rsidR="00BF34B6" w:rsidRPr="00BF34B6" w:rsidRDefault="00BF34B6" w:rsidP="001F0251">
            <w:pPr>
              <w:adjustRightInd w:val="0"/>
              <w:snapToGrid w:val="0"/>
              <w:ind w:firstLineChars="0" w:firstLine="0"/>
              <w:rPr>
                <w:rFonts w:eastAsia="MS PGothic"/>
                <w:b w:val="0"/>
                <w:i/>
                <w:sz w:val="18"/>
                <w:szCs w:val="18"/>
              </w:rPr>
            </w:pPr>
            <w:r w:rsidRPr="00BF34B6">
              <w:rPr>
                <w:rFonts w:eastAsia="MS PGothic"/>
                <w:b w:val="0"/>
                <w:i/>
                <w:sz w:val="18"/>
                <w:szCs w:val="18"/>
              </w:rPr>
              <w:t>Leverage</w:t>
            </w:r>
          </w:p>
        </w:tc>
        <w:tc>
          <w:tcPr>
            <w:cnfStyle w:val="000010000000"/>
            <w:tcW w:w="874" w:type="dxa"/>
            <w:shd w:val="clear" w:color="auto" w:fill="auto"/>
            <w:vAlign w:val="center"/>
          </w:tcPr>
          <w:p w:rsidR="00BF34B6" w:rsidRPr="00BF34B6" w:rsidRDefault="00BF34B6" w:rsidP="001F0251">
            <w:pPr>
              <w:adjustRightInd w:val="0"/>
              <w:snapToGrid w:val="0"/>
              <w:ind w:firstLineChars="0" w:firstLine="0"/>
              <w:rPr>
                <w:rFonts w:eastAsiaTheme="minorEastAsia"/>
                <w:sz w:val="18"/>
                <w:szCs w:val="18"/>
                <w:lang w:eastAsia="zh-CN"/>
              </w:rPr>
            </w:pPr>
            <w:r>
              <w:rPr>
                <w:rFonts w:eastAsia="MS PGothic"/>
                <w:sz w:val="18"/>
                <w:szCs w:val="18"/>
              </w:rPr>
              <w:t>+/</w:t>
            </w:r>
            <w:r w:rsidR="006072A1">
              <w:rPr>
                <w:rFonts w:eastAsiaTheme="minorEastAsia" w:hint="eastAsia"/>
                <w:sz w:val="18"/>
                <w:szCs w:val="18"/>
                <w:lang w:eastAsia="zh-CN"/>
              </w:rPr>
              <w:t>-</w:t>
            </w:r>
          </w:p>
        </w:tc>
        <w:tc>
          <w:tcPr>
            <w:tcW w:w="903" w:type="dxa"/>
            <w:shd w:val="clear" w:color="auto" w:fill="auto"/>
            <w:vAlign w:val="center"/>
          </w:tcPr>
          <w:p w:rsidR="00BF34B6" w:rsidRPr="00D51C66" w:rsidRDefault="00BF34B6" w:rsidP="001F0251">
            <w:pPr>
              <w:tabs>
                <w:tab w:val="decimal" w:pos="272"/>
              </w:tabs>
              <w:adjustRightInd w:val="0"/>
              <w:snapToGrid w:val="0"/>
              <w:ind w:firstLineChars="0" w:firstLine="0"/>
              <w:cnfStyle w:val="000000100000"/>
              <w:rPr>
                <w:rFonts w:eastAsia="MS PGothic"/>
                <w:sz w:val="18"/>
                <w:szCs w:val="18"/>
              </w:rPr>
            </w:pPr>
            <w:r w:rsidRPr="00D51C66">
              <w:rPr>
                <w:rFonts w:eastAsia="MS PGothic"/>
                <w:sz w:val="18"/>
                <w:szCs w:val="18"/>
              </w:rPr>
              <w:t>1.523</w:t>
            </w:r>
          </w:p>
        </w:tc>
        <w:tc>
          <w:tcPr>
            <w:cnfStyle w:val="000010000000"/>
            <w:tcW w:w="903" w:type="dxa"/>
            <w:shd w:val="clear" w:color="auto" w:fill="auto"/>
            <w:vAlign w:val="center"/>
          </w:tcPr>
          <w:p w:rsidR="00BF34B6" w:rsidRPr="00677F83" w:rsidRDefault="00BF34B6" w:rsidP="001F0251">
            <w:pPr>
              <w:tabs>
                <w:tab w:val="decimal" w:pos="170"/>
              </w:tabs>
              <w:adjustRightInd w:val="0"/>
              <w:snapToGrid w:val="0"/>
              <w:ind w:firstLineChars="0" w:firstLine="0"/>
              <w:rPr>
                <w:rFonts w:eastAsiaTheme="minorEastAsia"/>
                <w:sz w:val="18"/>
                <w:szCs w:val="18"/>
              </w:rPr>
            </w:pPr>
            <w:r w:rsidRPr="00677F83">
              <w:rPr>
                <w:rFonts w:eastAsiaTheme="minorEastAsia"/>
                <w:sz w:val="18"/>
                <w:szCs w:val="18"/>
              </w:rPr>
              <w:t>3.37</w:t>
            </w:r>
            <w:r w:rsidRPr="00677F83">
              <w:rPr>
                <w:rFonts w:eastAsiaTheme="minorEastAsia"/>
                <w:sz w:val="18"/>
                <w:szCs w:val="18"/>
                <w:vertAlign w:val="superscript"/>
              </w:rPr>
              <w:t>***</w:t>
            </w:r>
          </w:p>
        </w:tc>
        <w:tc>
          <w:tcPr>
            <w:tcW w:w="155" w:type="dxa"/>
            <w:shd w:val="clear" w:color="auto" w:fill="auto"/>
            <w:vAlign w:val="center"/>
          </w:tcPr>
          <w:p w:rsidR="00BF34B6" w:rsidRPr="00D51C66" w:rsidRDefault="00BF34B6" w:rsidP="001F0251">
            <w:pPr>
              <w:adjustRightInd w:val="0"/>
              <w:snapToGrid w:val="0"/>
              <w:ind w:firstLineChars="0" w:firstLine="0"/>
              <w:cnfStyle w:val="000000100000"/>
              <w:rPr>
                <w:rFonts w:eastAsia="MS PGothic"/>
                <w:sz w:val="18"/>
                <w:szCs w:val="18"/>
              </w:rPr>
            </w:pPr>
          </w:p>
        </w:tc>
        <w:tc>
          <w:tcPr>
            <w:cnfStyle w:val="000010000000"/>
            <w:tcW w:w="839" w:type="dxa"/>
            <w:shd w:val="clear" w:color="auto" w:fill="auto"/>
            <w:vAlign w:val="center"/>
          </w:tcPr>
          <w:p w:rsidR="00BF34B6" w:rsidRPr="00D51C66" w:rsidRDefault="00BF34B6" w:rsidP="001F0251">
            <w:pPr>
              <w:tabs>
                <w:tab w:val="decimal" w:pos="272"/>
              </w:tabs>
              <w:adjustRightInd w:val="0"/>
              <w:snapToGrid w:val="0"/>
              <w:ind w:firstLineChars="0" w:firstLine="0"/>
              <w:rPr>
                <w:rFonts w:eastAsia="MS PGothic"/>
                <w:sz w:val="18"/>
                <w:szCs w:val="18"/>
              </w:rPr>
            </w:pPr>
            <w:r w:rsidRPr="00D51C66">
              <w:rPr>
                <w:rFonts w:eastAsia="MS PGothic"/>
                <w:sz w:val="18"/>
                <w:szCs w:val="18"/>
              </w:rPr>
              <w:t>1.457</w:t>
            </w:r>
          </w:p>
        </w:tc>
        <w:tc>
          <w:tcPr>
            <w:tcW w:w="840" w:type="dxa"/>
            <w:shd w:val="clear" w:color="auto" w:fill="auto"/>
            <w:vAlign w:val="center"/>
          </w:tcPr>
          <w:p w:rsidR="00BF34B6" w:rsidRPr="00677F83" w:rsidRDefault="00BF34B6" w:rsidP="001F0251">
            <w:pPr>
              <w:tabs>
                <w:tab w:val="decimal" w:pos="170"/>
              </w:tabs>
              <w:adjustRightInd w:val="0"/>
              <w:snapToGrid w:val="0"/>
              <w:ind w:firstLineChars="0" w:firstLine="0"/>
              <w:cnfStyle w:val="000000100000"/>
              <w:rPr>
                <w:rFonts w:eastAsiaTheme="minorEastAsia"/>
                <w:sz w:val="18"/>
                <w:szCs w:val="18"/>
              </w:rPr>
            </w:pPr>
            <w:r w:rsidRPr="00677F83">
              <w:rPr>
                <w:rFonts w:eastAsiaTheme="minorEastAsia"/>
                <w:sz w:val="18"/>
                <w:szCs w:val="18"/>
              </w:rPr>
              <w:t>3.36</w:t>
            </w:r>
            <w:r w:rsidR="00677F83" w:rsidRPr="00677F83">
              <w:rPr>
                <w:rFonts w:eastAsiaTheme="minorEastAsia"/>
                <w:sz w:val="18"/>
                <w:szCs w:val="18"/>
                <w:vertAlign w:val="superscript"/>
              </w:rPr>
              <w:t>***</w:t>
            </w:r>
          </w:p>
        </w:tc>
        <w:tc>
          <w:tcPr>
            <w:cnfStyle w:val="000010000000"/>
            <w:tcW w:w="164" w:type="dxa"/>
            <w:shd w:val="clear" w:color="auto" w:fill="auto"/>
            <w:vAlign w:val="center"/>
          </w:tcPr>
          <w:p w:rsidR="00BF34B6" w:rsidRPr="00D51C66" w:rsidRDefault="00BF34B6" w:rsidP="001F0251">
            <w:pPr>
              <w:adjustRightInd w:val="0"/>
              <w:snapToGrid w:val="0"/>
              <w:ind w:firstLineChars="0" w:firstLine="0"/>
              <w:rPr>
                <w:rFonts w:eastAsia="MS PGothic"/>
                <w:sz w:val="18"/>
                <w:szCs w:val="18"/>
              </w:rPr>
            </w:pPr>
          </w:p>
        </w:tc>
        <w:tc>
          <w:tcPr>
            <w:tcW w:w="850" w:type="dxa"/>
            <w:shd w:val="clear" w:color="auto" w:fill="auto"/>
            <w:vAlign w:val="center"/>
          </w:tcPr>
          <w:p w:rsidR="00BF34B6" w:rsidRPr="00D51C66" w:rsidRDefault="00BF34B6" w:rsidP="001F0251">
            <w:pPr>
              <w:tabs>
                <w:tab w:val="decimal" w:pos="272"/>
              </w:tabs>
              <w:adjustRightInd w:val="0"/>
              <w:snapToGrid w:val="0"/>
              <w:ind w:firstLineChars="0" w:firstLine="0"/>
              <w:cnfStyle w:val="000000100000"/>
              <w:rPr>
                <w:rFonts w:eastAsia="MS PGothic"/>
                <w:sz w:val="18"/>
                <w:szCs w:val="18"/>
              </w:rPr>
            </w:pPr>
            <w:r w:rsidRPr="00D51C66">
              <w:rPr>
                <w:rFonts w:eastAsia="MS PGothic"/>
                <w:sz w:val="18"/>
                <w:szCs w:val="18"/>
              </w:rPr>
              <w:t>1.406</w:t>
            </w:r>
          </w:p>
        </w:tc>
        <w:tc>
          <w:tcPr>
            <w:cnfStyle w:val="000010000000"/>
            <w:tcW w:w="851" w:type="dxa"/>
            <w:shd w:val="clear" w:color="auto" w:fill="auto"/>
            <w:vAlign w:val="center"/>
          </w:tcPr>
          <w:p w:rsidR="00BF34B6" w:rsidRPr="00677F83" w:rsidRDefault="00BF34B6" w:rsidP="001F0251">
            <w:pPr>
              <w:tabs>
                <w:tab w:val="decimal" w:pos="170"/>
              </w:tabs>
              <w:adjustRightInd w:val="0"/>
              <w:snapToGrid w:val="0"/>
              <w:ind w:firstLineChars="0" w:firstLine="0"/>
              <w:rPr>
                <w:rFonts w:eastAsiaTheme="minorEastAsia"/>
                <w:sz w:val="18"/>
                <w:szCs w:val="18"/>
              </w:rPr>
            </w:pPr>
            <w:r w:rsidRPr="00677F83">
              <w:rPr>
                <w:rFonts w:eastAsiaTheme="minorEastAsia"/>
                <w:sz w:val="18"/>
                <w:szCs w:val="18"/>
              </w:rPr>
              <w:t>3.15</w:t>
            </w:r>
            <w:r w:rsidR="00677F83" w:rsidRPr="00677F83">
              <w:rPr>
                <w:rFonts w:eastAsiaTheme="minorEastAsia"/>
                <w:sz w:val="18"/>
                <w:szCs w:val="18"/>
                <w:vertAlign w:val="superscript"/>
              </w:rPr>
              <w:t>***</w:t>
            </w:r>
          </w:p>
        </w:tc>
        <w:tc>
          <w:tcPr>
            <w:tcW w:w="142" w:type="dxa"/>
            <w:shd w:val="clear" w:color="auto" w:fill="auto"/>
            <w:vAlign w:val="center"/>
          </w:tcPr>
          <w:p w:rsidR="00BF34B6" w:rsidRPr="00D51C66" w:rsidRDefault="00BF34B6" w:rsidP="001F0251">
            <w:pPr>
              <w:adjustRightInd w:val="0"/>
              <w:snapToGrid w:val="0"/>
              <w:ind w:firstLineChars="0" w:firstLine="0"/>
              <w:cnfStyle w:val="000000100000"/>
              <w:rPr>
                <w:rFonts w:eastAsia="MS PGothic"/>
                <w:sz w:val="18"/>
                <w:szCs w:val="18"/>
              </w:rPr>
            </w:pPr>
          </w:p>
        </w:tc>
        <w:tc>
          <w:tcPr>
            <w:cnfStyle w:val="000010000000"/>
            <w:tcW w:w="819" w:type="dxa"/>
            <w:shd w:val="clear" w:color="auto" w:fill="auto"/>
            <w:vAlign w:val="center"/>
          </w:tcPr>
          <w:p w:rsidR="00BF34B6" w:rsidRPr="00677F83" w:rsidRDefault="00BF34B6" w:rsidP="001F0251">
            <w:pPr>
              <w:tabs>
                <w:tab w:val="decimal" w:pos="244"/>
              </w:tabs>
              <w:adjustRightInd w:val="0"/>
              <w:snapToGrid w:val="0"/>
              <w:ind w:firstLineChars="0" w:firstLine="0"/>
              <w:rPr>
                <w:rFonts w:eastAsia="MS PGothic"/>
                <w:sz w:val="18"/>
                <w:szCs w:val="18"/>
              </w:rPr>
            </w:pPr>
            <w:r w:rsidRPr="00677F83">
              <w:rPr>
                <w:rFonts w:eastAsia="MS PGothic"/>
                <w:sz w:val="18"/>
                <w:szCs w:val="18"/>
              </w:rPr>
              <w:t>1.413</w:t>
            </w:r>
          </w:p>
        </w:tc>
        <w:tc>
          <w:tcPr>
            <w:tcW w:w="820" w:type="dxa"/>
            <w:shd w:val="clear" w:color="auto" w:fill="auto"/>
            <w:vAlign w:val="center"/>
          </w:tcPr>
          <w:p w:rsidR="00BF34B6" w:rsidRPr="00677F83" w:rsidRDefault="00BF34B6" w:rsidP="001F0251">
            <w:pPr>
              <w:tabs>
                <w:tab w:val="decimal" w:pos="170"/>
              </w:tabs>
              <w:adjustRightInd w:val="0"/>
              <w:snapToGrid w:val="0"/>
              <w:ind w:firstLineChars="0" w:firstLine="0"/>
              <w:cnfStyle w:val="000000100000"/>
              <w:rPr>
                <w:rFonts w:eastAsiaTheme="minorEastAsia"/>
                <w:sz w:val="18"/>
                <w:szCs w:val="18"/>
              </w:rPr>
            </w:pPr>
            <w:r w:rsidRPr="00677F83">
              <w:rPr>
                <w:rFonts w:eastAsiaTheme="minorEastAsia"/>
                <w:sz w:val="18"/>
                <w:szCs w:val="18"/>
              </w:rPr>
              <w:t>3.21</w:t>
            </w:r>
            <w:r w:rsidR="00677F83" w:rsidRPr="00677F83">
              <w:rPr>
                <w:rFonts w:eastAsiaTheme="minorEastAsia"/>
                <w:sz w:val="18"/>
                <w:szCs w:val="18"/>
                <w:vertAlign w:val="superscript"/>
              </w:rPr>
              <w:t>***</w:t>
            </w:r>
          </w:p>
        </w:tc>
      </w:tr>
      <w:tr w:rsidR="00BF34B6" w:rsidRPr="00D51C66" w:rsidTr="00BF34B6">
        <w:trPr>
          <w:trHeight w:val="255"/>
          <w:jc w:val="center"/>
        </w:trPr>
        <w:tc>
          <w:tcPr>
            <w:cnfStyle w:val="001000000000"/>
            <w:tcW w:w="1300" w:type="dxa"/>
            <w:shd w:val="clear" w:color="auto" w:fill="auto"/>
            <w:vAlign w:val="center"/>
          </w:tcPr>
          <w:p w:rsidR="00BF34B6" w:rsidRPr="00D51C66" w:rsidRDefault="00BF34B6" w:rsidP="001F0251">
            <w:pPr>
              <w:adjustRightInd w:val="0"/>
              <w:snapToGrid w:val="0"/>
              <w:ind w:firstLineChars="0" w:firstLine="0"/>
              <w:rPr>
                <w:rFonts w:eastAsia="MS PGothic"/>
                <w:b w:val="0"/>
                <w:sz w:val="18"/>
                <w:szCs w:val="18"/>
              </w:rPr>
            </w:pPr>
            <w:r w:rsidRPr="00BF34B6">
              <w:rPr>
                <w:rFonts w:eastAsia="MS PGothic"/>
                <w:b w:val="0"/>
                <w:i/>
                <w:sz w:val="18"/>
                <w:szCs w:val="18"/>
              </w:rPr>
              <w:t>Current</w:t>
            </w:r>
            <w:r w:rsidRPr="00D51C66">
              <w:rPr>
                <w:rFonts w:eastAsia="MS PGothic"/>
                <w:b w:val="0"/>
                <w:sz w:val="18"/>
                <w:szCs w:val="18"/>
              </w:rPr>
              <w:t>_</w:t>
            </w:r>
            <w:r w:rsidRPr="00BF34B6">
              <w:rPr>
                <w:rFonts w:eastAsia="MS PGothic"/>
                <w:b w:val="0"/>
                <w:i/>
                <w:sz w:val="18"/>
                <w:szCs w:val="18"/>
              </w:rPr>
              <w:t>rate</w:t>
            </w:r>
          </w:p>
        </w:tc>
        <w:tc>
          <w:tcPr>
            <w:cnfStyle w:val="000010000000"/>
            <w:tcW w:w="874" w:type="dxa"/>
            <w:shd w:val="clear" w:color="auto" w:fill="auto"/>
            <w:vAlign w:val="center"/>
          </w:tcPr>
          <w:p w:rsidR="00BF34B6" w:rsidRPr="00BF34B6" w:rsidRDefault="00BF34B6" w:rsidP="001F0251">
            <w:pPr>
              <w:adjustRightInd w:val="0"/>
              <w:snapToGrid w:val="0"/>
              <w:ind w:firstLineChars="0" w:firstLine="0"/>
              <w:rPr>
                <w:rFonts w:eastAsiaTheme="minorEastAsia"/>
                <w:sz w:val="18"/>
                <w:szCs w:val="18"/>
                <w:lang w:eastAsia="zh-CN"/>
              </w:rPr>
            </w:pPr>
            <w:r>
              <w:rPr>
                <w:rFonts w:eastAsia="MS PGothic"/>
                <w:sz w:val="18"/>
                <w:szCs w:val="18"/>
              </w:rPr>
              <w:t>+/</w:t>
            </w:r>
            <w:r w:rsidR="006072A1">
              <w:rPr>
                <w:rFonts w:eastAsiaTheme="minorEastAsia" w:hint="eastAsia"/>
                <w:sz w:val="18"/>
                <w:szCs w:val="18"/>
                <w:lang w:eastAsia="zh-CN"/>
              </w:rPr>
              <w:t>-</w:t>
            </w:r>
          </w:p>
        </w:tc>
        <w:tc>
          <w:tcPr>
            <w:tcW w:w="903" w:type="dxa"/>
            <w:shd w:val="clear" w:color="auto" w:fill="auto"/>
            <w:vAlign w:val="center"/>
          </w:tcPr>
          <w:p w:rsidR="00BF34B6" w:rsidRPr="00D51C66" w:rsidRDefault="00BF34B6" w:rsidP="001F0251">
            <w:pPr>
              <w:tabs>
                <w:tab w:val="decimal" w:pos="272"/>
              </w:tabs>
              <w:adjustRightInd w:val="0"/>
              <w:snapToGrid w:val="0"/>
              <w:ind w:firstLineChars="0" w:firstLine="0"/>
              <w:cnfStyle w:val="000000000000"/>
              <w:rPr>
                <w:rFonts w:eastAsia="MS PGothic"/>
                <w:sz w:val="18"/>
                <w:szCs w:val="18"/>
              </w:rPr>
            </w:pPr>
            <w:r w:rsidRPr="00D51C66">
              <w:rPr>
                <w:rFonts w:eastAsia="MS PGothic"/>
                <w:sz w:val="18"/>
                <w:szCs w:val="18"/>
              </w:rPr>
              <w:t>-0.997</w:t>
            </w:r>
          </w:p>
        </w:tc>
        <w:tc>
          <w:tcPr>
            <w:cnfStyle w:val="000010000000"/>
            <w:tcW w:w="903" w:type="dxa"/>
            <w:shd w:val="clear" w:color="auto" w:fill="auto"/>
            <w:vAlign w:val="center"/>
          </w:tcPr>
          <w:p w:rsidR="00BF34B6" w:rsidRPr="00677F83" w:rsidRDefault="00BF34B6" w:rsidP="001F0251">
            <w:pPr>
              <w:tabs>
                <w:tab w:val="decimal" w:pos="170"/>
              </w:tabs>
              <w:adjustRightInd w:val="0"/>
              <w:snapToGrid w:val="0"/>
              <w:ind w:firstLineChars="0" w:firstLine="0"/>
              <w:rPr>
                <w:rFonts w:eastAsiaTheme="minorEastAsia"/>
                <w:sz w:val="18"/>
                <w:szCs w:val="18"/>
                <w:lang w:eastAsia="zh-CN"/>
              </w:rPr>
            </w:pPr>
            <w:r w:rsidRPr="00677F83">
              <w:rPr>
                <w:rFonts w:eastAsiaTheme="minorEastAsia"/>
                <w:sz w:val="18"/>
                <w:szCs w:val="18"/>
              </w:rPr>
              <w:t>-2.37</w:t>
            </w:r>
            <w:r w:rsidR="00677F83" w:rsidRPr="00677F83">
              <w:rPr>
                <w:rFonts w:eastAsiaTheme="minorEastAsia"/>
                <w:sz w:val="18"/>
                <w:szCs w:val="18"/>
                <w:vertAlign w:val="superscript"/>
              </w:rPr>
              <w:t>**</w:t>
            </w:r>
          </w:p>
        </w:tc>
        <w:tc>
          <w:tcPr>
            <w:tcW w:w="155" w:type="dxa"/>
            <w:tcBorders>
              <w:left w:val="nil"/>
            </w:tcBorders>
            <w:shd w:val="clear" w:color="auto" w:fill="auto"/>
            <w:vAlign w:val="center"/>
          </w:tcPr>
          <w:p w:rsidR="00BF34B6" w:rsidRPr="00D51C66" w:rsidRDefault="00BF34B6" w:rsidP="001F0251">
            <w:pPr>
              <w:adjustRightInd w:val="0"/>
              <w:snapToGrid w:val="0"/>
              <w:ind w:firstLineChars="0" w:firstLine="0"/>
              <w:cnfStyle w:val="000000000000"/>
              <w:rPr>
                <w:rFonts w:eastAsia="MS PGothic"/>
                <w:sz w:val="18"/>
                <w:szCs w:val="18"/>
              </w:rPr>
            </w:pPr>
          </w:p>
        </w:tc>
        <w:tc>
          <w:tcPr>
            <w:cnfStyle w:val="000010000000"/>
            <w:tcW w:w="839" w:type="dxa"/>
            <w:shd w:val="clear" w:color="auto" w:fill="auto"/>
            <w:vAlign w:val="center"/>
          </w:tcPr>
          <w:p w:rsidR="00BF34B6" w:rsidRPr="00D51C66" w:rsidRDefault="00BF34B6" w:rsidP="001F0251">
            <w:pPr>
              <w:tabs>
                <w:tab w:val="decimal" w:pos="272"/>
              </w:tabs>
              <w:adjustRightInd w:val="0"/>
              <w:snapToGrid w:val="0"/>
              <w:ind w:firstLineChars="0" w:firstLine="0"/>
              <w:rPr>
                <w:rFonts w:eastAsia="MS PGothic"/>
                <w:sz w:val="18"/>
                <w:szCs w:val="18"/>
              </w:rPr>
            </w:pPr>
            <w:r w:rsidRPr="00D51C66">
              <w:rPr>
                <w:rFonts w:eastAsia="MS PGothic"/>
                <w:sz w:val="18"/>
                <w:szCs w:val="18"/>
              </w:rPr>
              <w:t>-1.044</w:t>
            </w:r>
          </w:p>
        </w:tc>
        <w:tc>
          <w:tcPr>
            <w:tcW w:w="840" w:type="dxa"/>
            <w:tcBorders>
              <w:right w:val="nil"/>
            </w:tcBorders>
            <w:shd w:val="clear" w:color="auto" w:fill="auto"/>
            <w:vAlign w:val="center"/>
          </w:tcPr>
          <w:p w:rsidR="00BF34B6" w:rsidRPr="00677F83" w:rsidRDefault="00BF34B6" w:rsidP="001F0251">
            <w:pPr>
              <w:tabs>
                <w:tab w:val="decimal" w:pos="170"/>
              </w:tabs>
              <w:adjustRightInd w:val="0"/>
              <w:snapToGrid w:val="0"/>
              <w:ind w:firstLineChars="0" w:firstLine="0"/>
              <w:cnfStyle w:val="000000000000"/>
              <w:rPr>
                <w:rFonts w:eastAsiaTheme="minorEastAsia"/>
                <w:sz w:val="18"/>
                <w:szCs w:val="18"/>
              </w:rPr>
            </w:pPr>
            <w:r w:rsidRPr="00677F83">
              <w:rPr>
                <w:rFonts w:eastAsiaTheme="minorEastAsia"/>
                <w:sz w:val="18"/>
                <w:szCs w:val="18"/>
              </w:rPr>
              <w:t>-2.8</w:t>
            </w:r>
            <w:r w:rsidR="00FD3DF3">
              <w:rPr>
                <w:rFonts w:eastAsiaTheme="minorEastAsia" w:hint="eastAsia"/>
                <w:sz w:val="18"/>
                <w:szCs w:val="18"/>
                <w:lang w:eastAsia="zh-CN"/>
              </w:rPr>
              <w:t>0</w:t>
            </w:r>
            <w:r w:rsidR="00677F83" w:rsidRPr="00677F83">
              <w:rPr>
                <w:rFonts w:eastAsiaTheme="minorEastAsia"/>
                <w:sz w:val="18"/>
                <w:szCs w:val="18"/>
                <w:vertAlign w:val="superscript"/>
              </w:rPr>
              <w:t>***</w:t>
            </w:r>
          </w:p>
        </w:tc>
        <w:tc>
          <w:tcPr>
            <w:cnfStyle w:val="000010000000"/>
            <w:tcW w:w="164" w:type="dxa"/>
            <w:shd w:val="clear" w:color="auto" w:fill="auto"/>
            <w:vAlign w:val="center"/>
          </w:tcPr>
          <w:p w:rsidR="00BF34B6" w:rsidRPr="00D51C66" w:rsidRDefault="00BF34B6" w:rsidP="001F0251">
            <w:pPr>
              <w:adjustRightInd w:val="0"/>
              <w:snapToGrid w:val="0"/>
              <w:ind w:firstLineChars="0" w:firstLine="0"/>
              <w:rPr>
                <w:rFonts w:eastAsia="MS PGothic"/>
                <w:sz w:val="18"/>
                <w:szCs w:val="18"/>
              </w:rPr>
            </w:pPr>
          </w:p>
        </w:tc>
        <w:tc>
          <w:tcPr>
            <w:tcW w:w="850" w:type="dxa"/>
            <w:shd w:val="clear" w:color="auto" w:fill="auto"/>
            <w:vAlign w:val="center"/>
          </w:tcPr>
          <w:p w:rsidR="00BF34B6" w:rsidRPr="00D51C66" w:rsidRDefault="00BF34B6" w:rsidP="001F0251">
            <w:pPr>
              <w:tabs>
                <w:tab w:val="decimal" w:pos="272"/>
              </w:tabs>
              <w:adjustRightInd w:val="0"/>
              <w:snapToGrid w:val="0"/>
              <w:ind w:firstLineChars="0" w:firstLine="0"/>
              <w:cnfStyle w:val="000000000000"/>
              <w:rPr>
                <w:rFonts w:eastAsia="MS PGothic"/>
                <w:sz w:val="18"/>
                <w:szCs w:val="18"/>
              </w:rPr>
            </w:pPr>
            <w:r w:rsidRPr="00D51C66">
              <w:rPr>
                <w:rFonts w:eastAsia="MS PGothic"/>
                <w:sz w:val="18"/>
                <w:szCs w:val="18"/>
              </w:rPr>
              <w:t>-1.063</w:t>
            </w:r>
          </w:p>
        </w:tc>
        <w:tc>
          <w:tcPr>
            <w:cnfStyle w:val="000010000000"/>
            <w:tcW w:w="851" w:type="dxa"/>
            <w:shd w:val="clear" w:color="auto" w:fill="auto"/>
            <w:vAlign w:val="center"/>
          </w:tcPr>
          <w:p w:rsidR="00BF34B6" w:rsidRPr="00677F83" w:rsidRDefault="00BF34B6" w:rsidP="001F0251">
            <w:pPr>
              <w:tabs>
                <w:tab w:val="decimal" w:pos="170"/>
              </w:tabs>
              <w:adjustRightInd w:val="0"/>
              <w:snapToGrid w:val="0"/>
              <w:ind w:firstLineChars="0" w:firstLine="0"/>
              <w:rPr>
                <w:rFonts w:eastAsiaTheme="minorEastAsia"/>
                <w:sz w:val="18"/>
                <w:szCs w:val="18"/>
                <w:lang w:eastAsia="zh-CN"/>
              </w:rPr>
            </w:pPr>
            <w:r w:rsidRPr="00677F83">
              <w:rPr>
                <w:rFonts w:eastAsiaTheme="minorEastAsia"/>
                <w:sz w:val="18"/>
                <w:szCs w:val="18"/>
              </w:rPr>
              <w:t>-2.34</w:t>
            </w:r>
            <w:r w:rsidR="00677F83" w:rsidRPr="00677F83">
              <w:rPr>
                <w:rFonts w:eastAsiaTheme="minorEastAsia"/>
                <w:sz w:val="18"/>
                <w:szCs w:val="18"/>
                <w:vertAlign w:val="superscript"/>
              </w:rPr>
              <w:t>**</w:t>
            </w:r>
          </w:p>
        </w:tc>
        <w:tc>
          <w:tcPr>
            <w:tcW w:w="142" w:type="dxa"/>
            <w:tcBorders>
              <w:left w:val="nil"/>
            </w:tcBorders>
            <w:shd w:val="clear" w:color="auto" w:fill="auto"/>
            <w:vAlign w:val="center"/>
          </w:tcPr>
          <w:p w:rsidR="00BF34B6" w:rsidRPr="00D51C66" w:rsidRDefault="00BF34B6" w:rsidP="001F0251">
            <w:pPr>
              <w:adjustRightInd w:val="0"/>
              <w:snapToGrid w:val="0"/>
              <w:ind w:firstLineChars="0" w:firstLine="0"/>
              <w:cnfStyle w:val="000000000000"/>
              <w:rPr>
                <w:rFonts w:eastAsia="MS PGothic"/>
                <w:sz w:val="18"/>
                <w:szCs w:val="18"/>
              </w:rPr>
            </w:pPr>
          </w:p>
        </w:tc>
        <w:tc>
          <w:tcPr>
            <w:cnfStyle w:val="000010000000"/>
            <w:tcW w:w="819" w:type="dxa"/>
            <w:shd w:val="clear" w:color="auto" w:fill="auto"/>
            <w:vAlign w:val="center"/>
          </w:tcPr>
          <w:p w:rsidR="00BF34B6" w:rsidRPr="00677F83" w:rsidRDefault="00BF34B6" w:rsidP="001F0251">
            <w:pPr>
              <w:tabs>
                <w:tab w:val="decimal" w:pos="244"/>
              </w:tabs>
              <w:adjustRightInd w:val="0"/>
              <w:snapToGrid w:val="0"/>
              <w:ind w:firstLineChars="0" w:firstLine="0"/>
              <w:rPr>
                <w:rFonts w:eastAsia="MS PGothic"/>
                <w:sz w:val="18"/>
                <w:szCs w:val="18"/>
              </w:rPr>
            </w:pPr>
            <w:r w:rsidRPr="00677F83">
              <w:rPr>
                <w:rFonts w:eastAsia="MS PGothic"/>
                <w:sz w:val="18"/>
                <w:szCs w:val="18"/>
              </w:rPr>
              <w:t>-1.137</w:t>
            </w:r>
          </w:p>
        </w:tc>
        <w:tc>
          <w:tcPr>
            <w:tcW w:w="820" w:type="dxa"/>
            <w:shd w:val="clear" w:color="auto" w:fill="auto"/>
            <w:vAlign w:val="center"/>
          </w:tcPr>
          <w:p w:rsidR="00BF34B6" w:rsidRPr="00677F83" w:rsidRDefault="00BF34B6" w:rsidP="001F0251">
            <w:pPr>
              <w:tabs>
                <w:tab w:val="decimal" w:pos="170"/>
              </w:tabs>
              <w:adjustRightInd w:val="0"/>
              <w:snapToGrid w:val="0"/>
              <w:ind w:firstLineChars="0" w:firstLine="0"/>
              <w:cnfStyle w:val="000000000000"/>
              <w:rPr>
                <w:rFonts w:eastAsiaTheme="minorEastAsia"/>
                <w:sz w:val="18"/>
                <w:szCs w:val="18"/>
              </w:rPr>
            </w:pPr>
            <w:r w:rsidRPr="00677F83">
              <w:rPr>
                <w:rFonts w:eastAsiaTheme="minorEastAsia"/>
                <w:sz w:val="18"/>
                <w:szCs w:val="18"/>
              </w:rPr>
              <w:t>-2.67</w:t>
            </w:r>
            <w:r w:rsidR="00677F83" w:rsidRPr="00677F83">
              <w:rPr>
                <w:rFonts w:eastAsiaTheme="minorEastAsia"/>
                <w:sz w:val="18"/>
                <w:szCs w:val="18"/>
                <w:vertAlign w:val="superscript"/>
              </w:rPr>
              <w:t>***</w:t>
            </w:r>
          </w:p>
        </w:tc>
      </w:tr>
      <w:tr w:rsidR="00BF34B6" w:rsidRPr="00D51C66" w:rsidTr="00BF34B6">
        <w:trPr>
          <w:cnfStyle w:val="000000100000"/>
          <w:trHeight w:val="255"/>
          <w:jc w:val="center"/>
        </w:trPr>
        <w:tc>
          <w:tcPr>
            <w:cnfStyle w:val="001000000000"/>
            <w:tcW w:w="1300" w:type="dxa"/>
            <w:shd w:val="clear" w:color="auto" w:fill="auto"/>
            <w:vAlign w:val="center"/>
          </w:tcPr>
          <w:p w:rsidR="00BF34B6" w:rsidRPr="00BF34B6" w:rsidRDefault="00BF34B6" w:rsidP="001F0251">
            <w:pPr>
              <w:adjustRightInd w:val="0"/>
              <w:snapToGrid w:val="0"/>
              <w:ind w:firstLineChars="0" w:firstLine="0"/>
              <w:rPr>
                <w:rFonts w:eastAsia="MS PGothic"/>
                <w:b w:val="0"/>
                <w:i/>
                <w:sz w:val="18"/>
                <w:szCs w:val="18"/>
              </w:rPr>
            </w:pPr>
            <w:r w:rsidRPr="00BF34B6">
              <w:rPr>
                <w:rFonts w:eastAsia="MS PGothic"/>
                <w:b w:val="0"/>
                <w:i/>
                <w:sz w:val="18"/>
                <w:szCs w:val="18"/>
              </w:rPr>
              <w:t>Interestcoverage</w:t>
            </w:r>
          </w:p>
        </w:tc>
        <w:tc>
          <w:tcPr>
            <w:cnfStyle w:val="000010000000"/>
            <w:tcW w:w="874" w:type="dxa"/>
            <w:shd w:val="clear" w:color="auto" w:fill="auto"/>
            <w:vAlign w:val="center"/>
          </w:tcPr>
          <w:p w:rsidR="00BF34B6" w:rsidRPr="00BF34B6" w:rsidRDefault="00BF34B6" w:rsidP="001F0251">
            <w:pPr>
              <w:adjustRightInd w:val="0"/>
              <w:snapToGrid w:val="0"/>
              <w:ind w:firstLineChars="0" w:firstLine="0"/>
              <w:rPr>
                <w:rFonts w:eastAsiaTheme="minorEastAsia"/>
                <w:sz w:val="18"/>
                <w:szCs w:val="18"/>
                <w:lang w:eastAsia="zh-CN"/>
              </w:rPr>
            </w:pPr>
            <w:r>
              <w:rPr>
                <w:rFonts w:eastAsia="MS PGothic"/>
                <w:sz w:val="18"/>
                <w:szCs w:val="18"/>
              </w:rPr>
              <w:t>+/</w:t>
            </w:r>
            <w:r w:rsidR="006072A1">
              <w:rPr>
                <w:rFonts w:eastAsiaTheme="minorEastAsia" w:hint="eastAsia"/>
                <w:sz w:val="18"/>
                <w:szCs w:val="18"/>
                <w:lang w:eastAsia="zh-CN"/>
              </w:rPr>
              <w:t>-</w:t>
            </w:r>
          </w:p>
        </w:tc>
        <w:tc>
          <w:tcPr>
            <w:tcW w:w="903" w:type="dxa"/>
            <w:shd w:val="clear" w:color="auto" w:fill="auto"/>
            <w:vAlign w:val="center"/>
          </w:tcPr>
          <w:p w:rsidR="00BF34B6" w:rsidRPr="00D51C66" w:rsidRDefault="00BF34B6" w:rsidP="001F0251">
            <w:pPr>
              <w:tabs>
                <w:tab w:val="decimal" w:pos="272"/>
              </w:tabs>
              <w:adjustRightInd w:val="0"/>
              <w:snapToGrid w:val="0"/>
              <w:ind w:firstLineChars="0" w:firstLine="0"/>
              <w:cnfStyle w:val="000000100000"/>
              <w:rPr>
                <w:rFonts w:eastAsia="MS PGothic"/>
                <w:sz w:val="18"/>
                <w:szCs w:val="18"/>
              </w:rPr>
            </w:pPr>
            <w:r w:rsidRPr="00D51C66">
              <w:rPr>
                <w:rFonts w:eastAsia="MS PGothic"/>
                <w:sz w:val="18"/>
                <w:szCs w:val="18"/>
              </w:rPr>
              <w:t>0.004</w:t>
            </w:r>
          </w:p>
        </w:tc>
        <w:tc>
          <w:tcPr>
            <w:cnfStyle w:val="000010000000"/>
            <w:tcW w:w="903" w:type="dxa"/>
            <w:shd w:val="clear" w:color="auto" w:fill="auto"/>
            <w:vAlign w:val="center"/>
          </w:tcPr>
          <w:p w:rsidR="00BF34B6" w:rsidRPr="00677F83" w:rsidRDefault="00BF34B6" w:rsidP="001F0251">
            <w:pPr>
              <w:tabs>
                <w:tab w:val="decimal" w:pos="170"/>
              </w:tabs>
              <w:adjustRightInd w:val="0"/>
              <w:snapToGrid w:val="0"/>
              <w:ind w:firstLineChars="0" w:firstLine="0"/>
              <w:rPr>
                <w:rFonts w:eastAsiaTheme="minorEastAsia"/>
                <w:sz w:val="18"/>
                <w:szCs w:val="18"/>
              </w:rPr>
            </w:pPr>
            <w:r w:rsidRPr="00677F83">
              <w:rPr>
                <w:rFonts w:eastAsiaTheme="minorEastAsia"/>
                <w:sz w:val="18"/>
                <w:szCs w:val="18"/>
              </w:rPr>
              <w:t>1.47</w:t>
            </w:r>
          </w:p>
        </w:tc>
        <w:tc>
          <w:tcPr>
            <w:tcW w:w="155" w:type="dxa"/>
            <w:shd w:val="clear" w:color="auto" w:fill="auto"/>
            <w:vAlign w:val="center"/>
          </w:tcPr>
          <w:p w:rsidR="00BF34B6" w:rsidRPr="00D51C66" w:rsidRDefault="00BF34B6" w:rsidP="001F0251">
            <w:pPr>
              <w:adjustRightInd w:val="0"/>
              <w:snapToGrid w:val="0"/>
              <w:ind w:firstLineChars="0" w:firstLine="0"/>
              <w:cnfStyle w:val="000000100000"/>
              <w:rPr>
                <w:rFonts w:eastAsia="MS PGothic"/>
                <w:sz w:val="18"/>
                <w:szCs w:val="18"/>
              </w:rPr>
            </w:pPr>
          </w:p>
        </w:tc>
        <w:tc>
          <w:tcPr>
            <w:cnfStyle w:val="000010000000"/>
            <w:tcW w:w="839" w:type="dxa"/>
            <w:shd w:val="clear" w:color="auto" w:fill="auto"/>
            <w:vAlign w:val="center"/>
          </w:tcPr>
          <w:p w:rsidR="00BF34B6" w:rsidRPr="00D51C66" w:rsidRDefault="00BF34B6" w:rsidP="001F0251">
            <w:pPr>
              <w:tabs>
                <w:tab w:val="decimal" w:pos="272"/>
              </w:tabs>
              <w:adjustRightInd w:val="0"/>
              <w:snapToGrid w:val="0"/>
              <w:ind w:firstLineChars="0" w:firstLine="0"/>
              <w:rPr>
                <w:rFonts w:eastAsia="MS PGothic"/>
                <w:sz w:val="18"/>
                <w:szCs w:val="18"/>
              </w:rPr>
            </w:pPr>
            <w:r w:rsidRPr="00D51C66">
              <w:rPr>
                <w:rFonts w:eastAsia="MS PGothic"/>
                <w:sz w:val="18"/>
                <w:szCs w:val="18"/>
              </w:rPr>
              <w:t>0.003</w:t>
            </w:r>
          </w:p>
        </w:tc>
        <w:tc>
          <w:tcPr>
            <w:tcW w:w="840" w:type="dxa"/>
            <w:shd w:val="clear" w:color="auto" w:fill="auto"/>
            <w:vAlign w:val="center"/>
          </w:tcPr>
          <w:p w:rsidR="00BF34B6" w:rsidRPr="00677F83" w:rsidRDefault="00BF34B6" w:rsidP="001F0251">
            <w:pPr>
              <w:tabs>
                <w:tab w:val="decimal" w:pos="170"/>
              </w:tabs>
              <w:adjustRightInd w:val="0"/>
              <w:snapToGrid w:val="0"/>
              <w:ind w:firstLineChars="0" w:firstLine="0"/>
              <w:cnfStyle w:val="000000100000"/>
              <w:rPr>
                <w:rFonts w:eastAsiaTheme="minorEastAsia"/>
                <w:sz w:val="18"/>
                <w:szCs w:val="18"/>
              </w:rPr>
            </w:pPr>
            <w:r w:rsidRPr="00677F83">
              <w:rPr>
                <w:rFonts w:eastAsiaTheme="minorEastAsia"/>
                <w:sz w:val="18"/>
                <w:szCs w:val="18"/>
              </w:rPr>
              <w:t>1.58</w:t>
            </w:r>
          </w:p>
        </w:tc>
        <w:tc>
          <w:tcPr>
            <w:cnfStyle w:val="000010000000"/>
            <w:tcW w:w="164" w:type="dxa"/>
            <w:shd w:val="clear" w:color="auto" w:fill="auto"/>
            <w:vAlign w:val="center"/>
          </w:tcPr>
          <w:p w:rsidR="00BF34B6" w:rsidRPr="00D51C66" w:rsidRDefault="00BF34B6" w:rsidP="001F0251">
            <w:pPr>
              <w:adjustRightInd w:val="0"/>
              <w:snapToGrid w:val="0"/>
              <w:ind w:firstLineChars="0" w:firstLine="0"/>
              <w:rPr>
                <w:rFonts w:eastAsia="MS PGothic"/>
                <w:sz w:val="18"/>
                <w:szCs w:val="18"/>
              </w:rPr>
            </w:pPr>
          </w:p>
        </w:tc>
        <w:tc>
          <w:tcPr>
            <w:tcW w:w="850" w:type="dxa"/>
            <w:shd w:val="clear" w:color="auto" w:fill="auto"/>
            <w:vAlign w:val="center"/>
          </w:tcPr>
          <w:p w:rsidR="00BF34B6" w:rsidRPr="00D51C66" w:rsidRDefault="00BF34B6" w:rsidP="001F0251">
            <w:pPr>
              <w:tabs>
                <w:tab w:val="decimal" w:pos="272"/>
              </w:tabs>
              <w:adjustRightInd w:val="0"/>
              <w:snapToGrid w:val="0"/>
              <w:ind w:firstLineChars="0" w:firstLine="0"/>
              <w:cnfStyle w:val="000000100000"/>
              <w:rPr>
                <w:rFonts w:eastAsia="MS PGothic"/>
                <w:sz w:val="18"/>
                <w:szCs w:val="18"/>
              </w:rPr>
            </w:pPr>
            <w:r w:rsidRPr="00D51C66">
              <w:rPr>
                <w:rFonts w:eastAsia="MS PGothic"/>
                <w:sz w:val="18"/>
                <w:szCs w:val="18"/>
              </w:rPr>
              <w:t>0.003</w:t>
            </w:r>
          </w:p>
        </w:tc>
        <w:tc>
          <w:tcPr>
            <w:cnfStyle w:val="000010000000"/>
            <w:tcW w:w="851" w:type="dxa"/>
            <w:shd w:val="clear" w:color="auto" w:fill="auto"/>
            <w:vAlign w:val="center"/>
          </w:tcPr>
          <w:p w:rsidR="00BF34B6" w:rsidRPr="00677F83" w:rsidRDefault="00BF34B6" w:rsidP="001F0251">
            <w:pPr>
              <w:tabs>
                <w:tab w:val="decimal" w:pos="170"/>
              </w:tabs>
              <w:adjustRightInd w:val="0"/>
              <w:snapToGrid w:val="0"/>
              <w:ind w:firstLineChars="0" w:firstLine="0"/>
              <w:rPr>
                <w:rFonts w:eastAsiaTheme="minorEastAsia"/>
                <w:sz w:val="18"/>
                <w:szCs w:val="18"/>
              </w:rPr>
            </w:pPr>
            <w:r w:rsidRPr="00677F83">
              <w:rPr>
                <w:rFonts w:eastAsiaTheme="minorEastAsia"/>
                <w:sz w:val="18"/>
                <w:szCs w:val="18"/>
              </w:rPr>
              <w:t>1.26</w:t>
            </w:r>
          </w:p>
        </w:tc>
        <w:tc>
          <w:tcPr>
            <w:tcW w:w="142" w:type="dxa"/>
            <w:shd w:val="clear" w:color="auto" w:fill="auto"/>
            <w:vAlign w:val="center"/>
          </w:tcPr>
          <w:p w:rsidR="00BF34B6" w:rsidRPr="00D51C66" w:rsidRDefault="00BF34B6" w:rsidP="001F0251">
            <w:pPr>
              <w:adjustRightInd w:val="0"/>
              <w:snapToGrid w:val="0"/>
              <w:ind w:firstLineChars="0" w:firstLine="0"/>
              <w:cnfStyle w:val="000000100000"/>
              <w:rPr>
                <w:rFonts w:eastAsia="MS PGothic"/>
                <w:sz w:val="18"/>
                <w:szCs w:val="18"/>
              </w:rPr>
            </w:pPr>
          </w:p>
        </w:tc>
        <w:tc>
          <w:tcPr>
            <w:cnfStyle w:val="000010000000"/>
            <w:tcW w:w="819" w:type="dxa"/>
            <w:shd w:val="clear" w:color="auto" w:fill="auto"/>
            <w:vAlign w:val="center"/>
          </w:tcPr>
          <w:p w:rsidR="00BF34B6" w:rsidRPr="00677F83" w:rsidRDefault="00BF34B6" w:rsidP="001F0251">
            <w:pPr>
              <w:tabs>
                <w:tab w:val="decimal" w:pos="244"/>
              </w:tabs>
              <w:adjustRightInd w:val="0"/>
              <w:snapToGrid w:val="0"/>
              <w:ind w:firstLineChars="0" w:firstLine="0"/>
              <w:rPr>
                <w:rFonts w:eastAsia="MS PGothic"/>
                <w:sz w:val="18"/>
                <w:szCs w:val="18"/>
              </w:rPr>
            </w:pPr>
            <w:r w:rsidRPr="00677F83">
              <w:rPr>
                <w:rFonts w:eastAsia="MS PGothic"/>
                <w:sz w:val="18"/>
                <w:szCs w:val="18"/>
              </w:rPr>
              <w:t>0.003</w:t>
            </w:r>
          </w:p>
        </w:tc>
        <w:tc>
          <w:tcPr>
            <w:tcW w:w="820" w:type="dxa"/>
            <w:shd w:val="clear" w:color="auto" w:fill="auto"/>
            <w:vAlign w:val="center"/>
          </w:tcPr>
          <w:p w:rsidR="00BF34B6" w:rsidRPr="00677F83" w:rsidRDefault="00BF34B6" w:rsidP="001F0251">
            <w:pPr>
              <w:tabs>
                <w:tab w:val="decimal" w:pos="170"/>
              </w:tabs>
              <w:adjustRightInd w:val="0"/>
              <w:snapToGrid w:val="0"/>
              <w:ind w:firstLineChars="0" w:firstLine="0"/>
              <w:cnfStyle w:val="000000100000"/>
              <w:rPr>
                <w:rFonts w:eastAsiaTheme="minorEastAsia"/>
                <w:sz w:val="18"/>
                <w:szCs w:val="18"/>
              </w:rPr>
            </w:pPr>
            <w:r w:rsidRPr="00677F83">
              <w:rPr>
                <w:rFonts w:eastAsiaTheme="minorEastAsia"/>
                <w:sz w:val="18"/>
                <w:szCs w:val="18"/>
              </w:rPr>
              <w:t>1.19</w:t>
            </w:r>
          </w:p>
        </w:tc>
      </w:tr>
      <w:tr w:rsidR="00BF34B6" w:rsidRPr="00D51C66" w:rsidTr="00BF34B6">
        <w:trPr>
          <w:trHeight w:val="255"/>
          <w:jc w:val="center"/>
        </w:trPr>
        <w:tc>
          <w:tcPr>
            <w:cnfStyle w:val="001000000000"/>
            <w:tcW w:w="1300" w:type="dxa"/>
            <w:shd w:val="clear" w:color="auto" w:fill="auto"/>
            <w:vAlign w:val="center"/>
          </w:tcPr>
          <w:p w:rsidR="00BF34B6" w:rsidRPr="00D51C66" w:rsidRDefault="00BF34B6" w:rsidP="001F0251">
            <w:pPr>
              <w:adjustRightInd w:val="0"/>
              <w:snapToGrid w:val="0"/>
              <w:ind w:firstLineChars="0" w:firstLine="0"/>
              <w:rPr>
                <w:rFonts w:eastAsia="MS PGothic"/>
                <w:b w:val="0"/>
                <w:sz w:val="18"/>
                <w:szCs w:val="18"/>
              </w:rPr>
            </w:pPr>
            <w:r w:rsidRPr="00BF34B6">
              <w:rPr>
                <w:rFonts w:eastAsia="MS PGothic"/>
                <w:b w:val="0"/>
                <w:i/>
                <w:sz w:val="18"/>
                <w:szCs w:val="18"/>
              </w:rPr>
              <w:t>Loss</w:t>
            </w:r>
            <w:r w:rsidRPr="00D51C66">
              <w:rPr>
                <w:rFonts w:eastAsia="MS PGothic"/>
                <w:b w:val="0"/>
                <w:sz w:val="18"/>
                <w:szCs w:val="18"/>
              </w:rPr>
              <w:t>_</w:t>
            </w:r>
            <w:r w:rsidRPr="00BF34B6">
              <w:rPr>
                <w:rFonts w:eastAsia="MS PGothic"/>
                <w:b w:val="0"/>
                <w:i/>
                <w:sz w:val="18"/>
                <w:szCs w:val="18"/>
              </w:rPr>
              <w:t>dummy</w:t>
            </w:r>
          </w:p>
        </w:tc>
        <w:tc>
          <w:tcPr>
            <w:cnfStyle w:val="000010000000"/>
            <w:tcW w:w="874" w:type="dxa"/>
            <w:shd w:val="clear" w:color="auto" w:fill="auto"/>
            <w:vAlign w:val="center"/>
          </w:tcPr>
          <w:p w:rsidR="00BF34B6" w:rsidRPr="00BF34B6" w:rsidRDefault="006072A1" w:rsidP="001F0251">
            <w:pPr>
              <w:adjustRightInd w:val="0"/>
              <w:snapToGrid w:val="0"/>
              <w:ind w:firstLineChars="0" w:firstLine="0"/>
              <w:rPr>
                <w:rFonts w:eastAsiaTheme="minorEastAsia"/>
                <w:sz w:val="18"/>
                <w:szCs w:val="18"/>
                <w:lang w:eastAsia="zh-CN"/>
              </w:rPr>
            </w:pPr>
            <w:r>
              <w:rPr>
                <w:rFonts w:eastAsiaTheme="minorEastAsia" w:hint="eastAsia"/>
                <w:sz w:val="18"/>
                <w:szCs w:val="18"/>
                <w:lang w:eastAsia="zh-CN"/>
              </w:rPr>
              <w:t>-</w:t>
            </w:r>
          </w:p>
        </w:tc>
        <w:tc>
          <w:tcPr>
            <w:tcW w:w="903" w:type="dxa"/>
            <w:shd w:val="clear" w:color="auto" w:fill="auto"/>
            <w:vAlign w:val="center"/>
          </w:tcPr>
          <w:p w:rsidR="00BF34B6" w:rsidRPr="00D51C66" w:rsidRDefault="00BF34B6" w:rsidP="001F0251">
            <w:pPr>
              <w:tabs>
                <w:tab w:val="decimal" w:pos="272"/>
              </w:tabs>
              <w:adjustRightInd w:val="0"/>
              <w:snapToGrid w:val="0"/>
              <w:ind w:firstLineChars="0" w:firstLine="0"/>
              <w:cnfStyle w:val="000000000000"/>
              <w:rPr>
                <w:rFonts w:eastAsia="MS PGothic"/>
                <w:sz w:val="18"/>
                <w:szCs w:val="18"/>
              </w:rPr>
            </w:pPr>
            <w:r w:rsidRPr="00D51C66">
              <w:rPr>
                <w:rFonts w:eastAsia="MS PGothic"/>
                <w:sz w:val="18"/>
                <w:szCs w:val="18"/>
              </w:rPr>
              <w:t>-2.333</w:t>
            </w:r>
          </w:p>
        </w:tc>
        <w:tc>
          <w:tcPr>
            <w:cnfStyle w:val="000010000000"/>
            <w:tcW w:w="903" w:type="dxa"/>
            <w:shd w:val="clear" w:color="auto" w:fill="auto"/>
            <w:vAlign w:val="center"/>
          </w:tcPr>
          <w:p w:rsidR="00BF34B6" w:rsidRPr="00677F83" w:rsidRDefault="00BF34B6" w:rsidP="001F0251">
            <w:pPr>
              <w:tabs>
                <w:tab w:val="decimal" w:pos="170"/>
              </w:tabs>
              <w:adjustRightInd w:val="0"/>
              <w:snapToGrid w:val="0"/>
              <w:ind w:firstLineChars="0" w:firstLine="0"/>
              <w:rPr>
                <w:rFonts w:eastAsiaTheme="minorEastAsia"/>
                <w:sz w:val="18"/>
                <w:szCs w:val="18"/>
              </w:rPr>
            </w:pPr>
            <w:r w:rsidRPr="00677F83">
              <w:rPr>
                <w:rFonts w:eastAsiaTheme="minorEastAsia"/>
                <w:sz w:val="18"/>
                <w:szCs w:val="18"/>
              </w:rPr>
              <w:t>-1.64</w:t>
            </w:r>
          </w:p>
        </w:tc>
        <w:tc>
          <w:tcPr>
            <w:tcW w:w="155" w:type="dxa"/>
            <w:tcBorders>
              <w:left w:val="nil"/>
            </w:tcBorders>
            <w:shd w:val="clear" w:color="auto" w:fill="auto"/>
            <w:vAlign w:val="center"/>
          </w:tcPr>
          <w:p w:rsidR="00BF34B6" w:rsidRPr="00D51C66" w:rsidRDefault="00BF34B6" w:rsidP="001F0251">
            <w:pPr>
              <w:adjustRightInd w:val="0"/>
              <w:snapToGrid w:val="0"/>
              <w:ind w:firstLineChars="0" w:firstLine="0"/>
              <w:cnfStyle w:val="000000000000"/>
              <w:rPr>
                <w:rFonts w:eastAsia="MS PGothic"/>
                <w:sz w:val="18"/>
                <w:szCs w:val="18"/>
              </w:rPr>
            </w:pPr>
          </w:p>
        </w:tc>
        <w:tc>
          <w:tcPr>
            <w:cnfStyle w:val="000010000000"/>
            <w:tcW w:w="839" w:type="dxa"/>
            <w:shd w:val="clear" w:color="auto" w:fill="auto"/>
            <w:vAlign w:val="center"/>
          </w:tcPr>
          <w:p w:rsidR="00BF34B6" w:rsidRPr="00D51C66" w:rsidRDefault="00BF34B6" w:rsidP="001F0251">
            <w:pPr>
              <w:tabs>
                <w:tab w:val="decimal" w:pos="272"/>
              </w:tabs>
              <w:adjustRightInd w:val="0"/>
              <w:snapToGrid w:val="0"/>
              <w:ind w:firstLineChars="0" w:firstLine="0"/>
              <w:rPr>
                <w:rFonts w:eastAsia="MS PGothic"/>
                <w:sz w:val="18"/>
                <w:szCs w:val="18"/>
              </w:rPr>
            </w:pPr>
            <w:r w:rsidRPr="00D51C66">
              <w:rPr>
                <w:rFonts w:eastAsia="MS PGothic"/>
                <w:sz w:val="18"/>
                <w:szCs w:val="18"/>
              </w:rPr>
              <w:t>-2.168</w:t>
            </w:r>
          </w:p>
        </w:tc>
        <w:tc>
          <w:tcPr>
            <w:tcW w:w="840" w:type="dxa"/>
            <w:tcBorders>
              <w:right w:val="nil"/>
            </w:tcBorders>
            <w:shd w:val="clear" w:color="auto" w:fill="auto"/>
            <w:vAlign w:val="center"/>
          </w:tcPr>
          <w:p w:rsidR="00BF34B6" w:rsidRPr="00677F83" w:rsidRDefault="00BF34B6" w:rsidP="001F0251">
            <w:pPr>
              <w:tabs>
                <w:tab w:val="decimal" w:pos="170"/>
              </w:tabs>
              <w:adjustRightInd w:val="0"/>
              <w:snapToGrid w:val="0"/>
              <w:ind w:firstLineChars="0" w:firstLine="0"/>
              <w:cnfStyle w:val="000000000000"/>
              <w:rPr>
                <w:rFonts w:eastAsiaTheme="minorEastAsia"/>
                <w:sz w:val="18"/>
                <w:szCs w:val="18"/>
              </w:rPr>
            </w:pPr>
            <w:r w:rsidRPr="00677F83">
              <w:rPr>
                <w:rFonts w:eastAsiaTheme="minorEastAsia"/>
                <w:sz w:val="18"/>
                <w:szCs w:val="18"/>
              </w:rPr>
              <w:t>-1.39</w:t>
            </w:r>
          </w:p>
        </w:tc>
        <w:tc>
          <w:tcPr>
            <w:cnfStyle w:val="000010000000"/>
            <w:tcW w:w="164" w:type="dxa"/>
            <w:shd w:val="clear" w:color="auto" w:fill="auto"/>
            <w:vAlign w:val="center"/>
          </w:tcPr>
          <w:p w:rsidR="00BF34B6" w:rsidRPr="00D51C66" w:rsidRDefault="00BF34B6" w:rsidP="001F0251">
            <w:pPr>
              <w:adjustRightInd w:val="0"/>
              <w:snapToGrid w:val="0"/>
              <w:ind w:firstLineChars="0" w:firstLine="0"/>
              <w:rPr>
                <w:rFonts w:eastAsia="MS PGothic"/>
                <w:sz w:val="18"/>
                <w:szCs w:val="18"/>
              </w:rPr>
            </w:pPr>
          </w:p>
        </w:tc>
        <w:tc>
          <w:tcPr>
            <w:tcW w:w="850" w:type="dxa"/>
            <w:shd w:val="clear" w:color="auto" w:fill="auto"/>
            <w:vAlign w:val="center"/>
          </w:tcPr>
          <w:p w:rsidR="00BF34B6" w:rsidRPr="00D51C66" w:rsidRDefault="00BF34B6" w:rsidP="001F0251">
            <w:pPr>
              <w:tabs>
                <w:tab w:val="decimal" w:pos="272"/>
              </w:tabs>
              <w:adjustRightInd w:val="0"/>
              <w:snapToGrid w:val="0"/>
              <w:ind w:firstLineChars="0" w:firstLine="0"/>
              <w:cnfStyle w:val="000000000000"/>
              <w:rPr>
                <w:rFonts w:eastAsia="MS PGothic"/>
                <w:sz w:val="18"/>
                <w:szCs w:val="18"/>
              </w:rPr>
            </w:pPr>
            <w:r w:rsidRPr="00D51C66">
              <w:rPr>
                <w:rFonts w:eastAsia="MS PGothic"/>
                <w:sz w:val="18"/>
                <w:szCs w:val="18"/>
              </w:rPr>
              <w:t>-1.772</w:t>
            </w:r>
          </w:p>
        </w:tc>
        <w:tc>
          <w:tcPr>
            <w:cnfStyle w:val="000010000000"/>
            <w:tcW w:w="851" w:type="dxa"/>
            <w:shd w:val="clear" w:color="auto" w:fill="auto"/>
            <w:vAlign w:val="center"/>
          </w:tcPr>
          <w:p w:rsidR="00BF34B6" w:rsidRPr="00677F83" w:rsidRDefault="00BF34B6" w:rsidP="001F0251">
            <w:pPr>
              <w:tabs>
                <w:tab w:val="decimal" w:pos="170"/>
              </w:tabs>
              <w:adjustRightInd w:val="0"/>
              <w:snapToGrid w:val="0"/>
              <w:ind w:firstLineChars="0" w:firstLine="0"/>
              <w:rPr>
                <w:rFonts w:eastAsiaTheme="minorEastAsia"/>
                <w:sz w:val="18"/>
                <w:szCs w:val="18"/>
              </w:rPr>
            </w:pPr>
            <w:r w:rsidRPr="00677F83">
              <w:rPr>
                <w:rFonts w:eastAsiaTheme="minorEastAsia"/>
                <w:sz w:val="18"/>
                <w:szCs w:val="18"/>
              </w:rPr>
              <w:t>-1.48</w:t>
            </w:r>
          </w:p>
        </w:tc>
        <w:tc>
          <w:tcPr>
            <w:tcW w:w="142" w:type="dxa"/>
            <w:tcBorders>
              <w:left w:val="nil"/>
            </w:tcBorders>
            <w:shd w:val="clear" w:color="auto" w:fill="auto"/>
            <w:vAlign w:val="center"/>
          </w:tcPr>
          <w:p w:rsidR="00BF34B6" w:rsidRPr="00D51C66" w:rsidRDefault="00BF34B6" w:rsidP="001F0251">
            <w:pPr>
              <w:adjustRightInd w:val="0"/>
              <w:snapToGrid w:val="0"/>
              <w:ind w:firstLineChars="0" w:firstLine="0"/>
              <w:cnfStyle w:val="000000000000"/>
              <w:rPr>
                <w:rFonts w:eastAsia="MS PGothic"/>
                <w:sz w:val="18"/>
                <w:szCs w:val="18"/>
              </w:rPr>
            </w:pPr>
          </w:p>
        </w:tc>
        <w:tc>
          <w:tcPr>
            <w:cnfStyle w:val="000010000000"/>
            <w:tcW w:w="819" w:type="dxa"/>
            <w:shd w:val="clear" w:color="auto" w:fill="auto"/>
            <w:vAlign w:val="center"/>
          </w:tcPr>
          <w:p w:rsidR="00BF34B6" w:rsidRPr="00677F83" w:rsidRDefault="00BF34B6" w:rsidP="001F0251">
            <w:pPr>
              <w:tabs>
                <w:tab w:val="decimal" w:pos="244"/>
              </w:tabs>
              <w:adjustRightInd w:val="0"/>
              <w:snapToGrid w:val="0"/>
              <w:ind w:firstLineChars="0" w:firstLine="0"/>
              <w:rPr>
                <w:rFonts w:eastAsia="MS PGothic"/>
                <w:sz w:val="18"/>
                <w:szCs w:val="18"/>
              </w:rPr>
            </w:pPr>
            <w:r w:rsidRPr="00677F83">
              <w:rPr>
                <w:rFonts w:eastAsia="MS PGothic"/>
                <w:sz w:val="18"/>
                <w:szCs w:val="18"/>
              </w:rPr>
              <w:t>-1.647</w:t>
            </w:r>
          </w:p>
        </w:tc>
        <w:tc>
          <w:tcPr>
            <w:tcW w:w="820" w:type="dxa"/>
            <w:shd w:val="clear" w:color="auto" w:fill="auto"/>
            <w:vAlign w:val="center"/>
          </w:tcPr>
          <w:p w:rsidR="00BF34B6" w:rsidRPr="00677F83" w:rsidRDefault="00BF34B6" w:rsidP="001F0251">
            <w:pPr>
              <w:tabs>
                <w:tab w:val="decimal" w:pos="170"/>
              </w:tabs>
              <w:adjustRightInd w:val="0"/>
              <w:snapToGrid w:val="0"/>
              <w:ind w:firstLineChars="0" w:firstLine="0"/>
              <w:cnfStyle w:val="000000000000"/>
              <w:rPr>
                <w:rFonts w:eastAsiaTheme="minorEastAsia"/>
                <w:sz w:val="18"/>
                <w:szCs w:val="18"/>
              </w:rPr>
            </w:pPr>
            <w:r w:rsidRPr="00677F83">
              <w:rPr>
                <w:rFonts w:eastAsiaTheme="minorEastAsia"/>
                <w:sz w:val="18"/>
                <w:szCs w:val="18"/>
              </w:rPr>
              <w:t>-1.47</w:t>
            </w:r>
          </w:p>
        </w:tc>
      </w:tr>
      <w:tr w:rsidR="00BF34B6" w:rsidRPr="00D51C66" w:rsidTr="00BF34B6">
        <w:trPr>
          <w:cnfStyle w:val="000000100000"/>
          <w:trHeight w:val="255"/>
          <w:jc w:val="center"/>
        </w:trPr>
        <w:tc>
          <w:tcPr>
            <w:cnfStyle w:val="001000000000"/>
            <w:tcW w:w="1300" w:type="dxa"/>
            <w:shd w:val="clear" w:color="auto" w:fill="auto"/>
            <w:vAlign w:val="center"/>
          </w:tcPr>
          <w:p w:rsidR="00BF34B6" w:rsidRPr="00D51C66" w:rsidRDefault="00BF34B6" w:rsidP="001F0251">
            <w:pPr>
              <w:adjustRightInd w:val="0"/>
              <w:snapToGrid w:val="0"/>
              <w:ind w:firstLineChars="0" w:firstLine="0"/>
              <w:rPr>
                <w:rFonts w:eastAsia="MS PGothic"/>
                <w:b w:val="0"/>
                <w:sz w:val="18"/>
                <w:szCs w:val="18"/>
              </w:rPr>
            </w:pPr>
            <w:r w:rsidRPr="00BF34B6">
              <w:rPr>
                <w:rFonts w:eastAsia="MS PGothic"/>
                <w:b w:val="0"/>
                <w:i/>
                <w:sz w:val="18"/>
                <w:szCs w:val="18"/>
              </w:rPr>
              <w:t>Cash</w:t>
            </w:r>
            <w:r w:rsidRPr="00D51C66">
              <w:rPr>
                <w:rFonts w:eastAsia="MS PGothic"/>
                <w:b w:val="0"/>
                <w:sz w:val="18"/>
                <w:szCs w:val="18"/>
              </w:rPr>
              <w:t>_</w:t>
            </w:r>
            <w:r w:rsidRPr="00BF34B6">
              <w:rPr>
                <w:rFonts w:eastAsia="MS PGothic"/>
                <w:b w:val="0"/>
                <w:i/>
                <w:sz w:val="18"/>
                <w:szCs w:val="18"/>
              </w:rPr>
              <w:t>ETR</w:t>
            </w:r>
          </w:p>
        </w:tc>
        <w:tc>
          <w:tcPr>
            <w:cnfStyle w:val="000010000000"/>
            <w:tcW w:w="874" w:type="dxa"/>
            <w:shd w:val="clear" w:color="auto" w:fill="auto"/>
            <w:vAlign w:val="center"/>
          </w:tcPr>
          <w:p w:rsidR="00BF34B6" w:rsidRPr="00D51C66" w:rsidRDefault="00BF34B6" w:rsidP="001F0251">
            <w:pPr>
              <w:adjustRightInd w:val="0"/>
              <w:snapToGrid w:val="0"/>
              <w:ind w:firstLineChars="0" w:firstLine="0"/>
              <w:rPr>
                <w:rFonts w:eastAsia="MS PGothic"/>
                <w:sz w:val="18"/>
                <w:szCs w:val="18"/>
              </w:rPr>
            </w:pPr>
            <w:r w:rsidRPr="00D51C66">
              <w:rPr>
                <w:rFonts w:eastAsia="MS PGothic"/>
                <w:sz w:val="18"/>
                <w:szCs w:val="18"/>
              </w:rPr>
              <w:t>+</w:t>
            </w:r>
          </w:p>
        </w:tc>
        <w:tc>
          <w:tcPr>
            <w:tcW w:w="903" w:type="dxa"/>
            <w:shd w:val="clear" w:color="auto" w:fill="auto"/>
            <w:vAlign w:val="center"/>
          </w:tcPr>
          <w:p w:rsidR="00BF34B6" w:rsidRPr="00D51C66" w:rsidRDefault="00BF34B6" w:rsidP="001F0251">
            <w:pPr>
              <w:tabs>
                <w:tab w:val="decimal" w:pos="272"/>
              </w:tabs>
              <w:adjustRightInd w:val="0"/>
              <w:snapToGrid w:val="0"/>
              <w:ind w:firstLineChars="0" w:firstLine="0"/>
              <w:cnfStyle w:val="000000100000"/>
              <w:rPr>
                <w:rFonts w:eastAsia="MS PGothic"/>
                <w:sz w:val="18"/>
                <w:szCs w:val="18"/>
              </w:rPr>
            </w:pPr>
            <w:r w:rsidRPr="00D51C66">
              <w:rPr>
                <w:rFonts w:eastAsia="MS PGothic"/>
                <w:sz w:val="18"/>
                <w:szCs w:val="18"/>
              </w:rPr>
              <w:t>0.088</w:t>
            </w:r>
          </w:p>
        </w:tc>
        <w:tc>
          <w:tcPr>
            <w:cnfStyle w:val="000010000000"/>
            <w:tcW w:w="903" w:type="dxa"/>
            <w:shd w:val="clear" w:color="auto" w:fill="auto"/>
            <w:vAlign w:val="center"/>
          </w:tcPr>
          <w:p w:rsidR="00BF34B6" w:rsidRPr="00677F83" w:rsidRDefault="00BF34B6" w:rsidP="001F0251">
            <w:pPr>
              <w:tabs>
                <w:tab w:val="decimal" w:pos="170"/>
              </w:tabs>
              <w:adjustRightInd w:val="0"/>
              <w:snapToGrid w:val="0"/>
              <w:ind w:firstLineChars="0" w:firstLine="0"/>
              <w:rPr>
                <w:rFonts w:eastAsiaTheme="minorEastAsia"/>
                <w:sz w:val="18"/>
                <w:szCs w:val="18"/>
              </w:rPr>
            </w:pPr>
            <w:r w:rsidRPr="00677F83">
              <w:rPr>
                <w:rFonts w:eastAsiaTheme="minorEastAsia"/>
                <w:sz w:val="18"/>
                <w:szCs w:val="18"/>
              </w:rPr>
              <w:t>0.02</w:t>
            </w:r>
          </w:p>
        </w:tc>
        <w:tc>
          <w:tcPr>
            <w:tcW w:w="155" w:type="dxa"/>
            <w:shd w:val="clear" w:color="auto" w:fill="auto"/>
            <w:vAlign w:val="center"/>
          </w:tcPr>
          <w:p w:rsidR="00BF34B6" w:rsidRPr="00D51C66" w:rsidRDefault="00BF34B6" w:rsidP="001F0251">
            <w:pPr>
              <w:adjustRightInd w:val="0"/>
              <w:snapToGrid w:val="0"/>
              <w:ind w:firstLineChars="0" w:firstLine="0"/>
              <w:cnfStyle w:val="000000100000"/>
              <w:rPr>
                <w:rFonts w:eastAsia="MS PGothic"/>
                <w:sz w:val="18"/>
                <w:szCs w:val="18"/>
              </w:rPr>
            </w:pPr>
          </w:p>
        </w:tc>
        <w:tc>
          <w:tcPr>
            <w:cnfStyle w:val="000010000000"/>
            <w:tcW w:w="839" w:type="dxa"/>
            <w:shd w:val="clear" w:color="auto" w:fill="auto"/>
            <w:vAlign w:val="center"/>
          </w:tcPr>
          <w:p w:rsidR="00BF34B6" w:rsidRPr="00D51C66" w:rsidRDefault="00BF34B6" w:rsidP="001F0251">
            <w:pPr>
              <w:tabs>
                <w:tab w:val="decimal" w:pos="272"/>
              </w:tabs>
              <w:adjustRightInd w:val="0"/>
              <w:snapToGrid w:val="0"/>
              <w:ind w:firstLineChars="0" w:firstLine="0"/>
              <w:rPr>
                <w:rFonts w:eastAsia="MS PGothic"/>
                <w:sz w:val="18"/>
                <w:szCs w:val="18"/>
              </w:rPr>
            </w:pPr>
            <w:r w:rsidRPr="00D51C66">
              <w:rPr>
                <w:rFonts w:eastAsia="MS PGothic"/>
                <w:sz w:val="18"/>
                <w:szCs w:val="18"/>
              </w:rPr>
              <w:t>0.727</w:t>
            </w:r>
          </w:p>
        </w:tc>
        <w:tc>
          <w:tcPr>
            <w:tcW w:w="840" w:type="dxa"/>
            <w:shd w:val="clear" w:color="auto" w:fill="auto"/>
            <w:vAlign w:val="center"/>
          </w:tcPr>
          <w:p w:rsidR="00BF34B6" w:rsidRPr="00677F83" w:rsidRDefault="00BF34B6" w:rsidP="001F0251">
            <w:pPr>
              <w:tabs>
                <w:tab w:val="decimal" w:pos="170"/>
              </w:tabs>
              <w:adjustRightInd w:val="0"/>
              <w:snapToGrid w:val="0"/>
              <w:ind w:firstLineChars="0" w:firstLine="0"/>
              <w:cnfStyle w:val="000000100000"/>
              <w:rPr>
                <w:rFonts w:eastAsiaTheme="minorEastAsia"/>
                <w:sz w:val="18"/>
                <w:szCs w:val="18"/>
              </w:rPr>
            </w:pPr>
            <w:r w:rsidRPr="00677F83">
              <w:rPr>
                <w:rFonts w:eastAsiaTheme="minorEastAsia"/>
                <w:sz w:val="18"/>
                <w:szCs w:val="18"/>
              </w:rPr>
              <w:t>0.18</w:t>
            </w:r>
          </w:p>
        </w:tc>
        <w:tc>
          <w:tcPr>
            <w:cnfStyle w:val="000010000000"/>
            <w:tcW w:w="164" w:type="dxa"/>
            <w:shd w:val="clear" w:color="auto" w:fill="auto"/>
            <w:vAlign w:val="center"/>
          </w:tcPr>
          <w:p w:rsidR="00BF34B6" w:rsidRPr="00D51C66" w:rsidRDefault="00BF34B6" w:rsidP="001F0251">
            <w:pPr>
              <w:adjustRightInd w:val="0"/>
              <w:snapToGrid w:val="0"/>
              <w:ind w:firstLineChars="0" w:firstLine="0"/>
              <w:rPr>
                <w:rFonts w:eastAsia="MS PGothic"/>
                <w:sz w:val="18"/>
                <w:szCs w:val="18"/>
              </w:rPr>
            </w:pPr>
          </w:p>
        </w:tc>
        <w:tc>
          <w:tcPr>
            <w:tcW w:w="850" w:type="dxa"/>
            <w:shd w:val="clear" w:color="auto" w:fill="auto"/>
            <w:vAlign w:val="center"/>
          </w:tcPr>
          <w:p w:rsidR="00BF34B6" w:rsidRPr="00D51C66" w:rsidRDefault="00BF34B6" w:rsidP="001F0251">
            <w:pPr>
              <w:tabs>
                <w:tab w:val="decimal" w:pos="272"/>
              </w:tabs>
              <w:adjustRightInd w:val="0"/>
              <w:snapToGrid w:val="0"/>
              <w:ind w:firstLineChars="0" w:firstLine="0"/>
              <w:cnfStyle w:val="000000100000"/>
              <w:rPr>
                <w:rFonts w:eastAsia="MS PGothic"/>
                <w:sz w:val="18"/>
                <w:szCs w:val="18"/>
              </w:rPr>
            </w:pPr>
            <w:r w:rsidRPr="00D51C66">
              <w:rPr>
                <w:rFonts w:eastAsia="MS PGothic"/>
                <w:sz w:val="18"/>
                <w:szCs w:val="18"/>
              </w:rPr>
              <w:t>1.905</w:t>
            </w:r>
          </w:p>
        </w:tc>
        <w:tc>
          <w:tcPr>
            <w:cnfStyle w:val="000010000000"/>
            <w:tcW w:w="851" w:type="dxa"/>
            <w:shd w:val="clear" w:color="auto" w:fill="auto"/>
            <w:vAlign w:val="center"/>
          </w:tcPr>
          <w:p w:rsidR="00BF34B6" w:rsidRPr="00677F83" w:rsidRDefault="00BF34B6" w:rsidP="001F0251">
            <w:pPr>
              <w:tabs>
                <w:tab w:val="decimal" w:pos="170"/>
              </w:tabs>
              <w:adjustRightInd w:val="0"/>
              <w:snapToGrid w:val="0"/>
              <w:ind w:firstLineChars="0" w:firstLine="0"/>
              <w:rPr>
                <w:rFonts w:eastAsiaTheme="minorEastAsia"/>
                <w:sz w:val="18"/>
                <w:szCs w:val="18"/>
                <w:lang w:eastAsia="zh-CN"/>
              </w:rPr>
            </w:pPr>
            <w:r w:rsidRPr="00677F83">
              <w:rPr>
                <w:rFonts w:eastAsiaTheme="minorEastAsia"/>
                <w:sz w:val="18"/>
                <w:szCs w:val="18"/>
              </w:rPr>
              <w:t>0.5</w:t>
            </w:r>
            <w:r w:rsidR="00FD3DF3">
              <w:rPr>
                <w:rFonts w:eastAsiaTheme="minorEastAsia" w:hint="eastAsia"/>
                <w:sz w:val="18"/>
                <w:szCs w:val="18"/>
                <w:lang w:eastAsia="zh-CN"/>
              </w:rPr>
              <w:t>0</w:t>
            </w:r>
          </w:p>
        </w:tc>
        <w:tc>
          <w:tcPr>
            <w:tcW w:w="142" w:type="dxa"/>
            <w:shd w:val="clear" w:color="auto" w:fill="auto"/>
            <w:vAlign w:val="center"/>
          </w:tcPr>
          <w:p w:rsidR="00BF34B6" w:rsidRPr="00D51C66" w:rsidRDefault="00BF34B6" w:rsidP="001F0251">
            <w:pPr>
              <w:adjustRightInd w:val="0"/>
              <w:snapToGrid w:val="0"/>
              <w:ind w:firstLineChars="0" w:firstLine="0"/>
              <w:cnfStyle w:val="000000100000"/>
              <w:rPr>
                <w:rFonts w:eastAsia="MS PGothic"/>
                <w:sz w:val="18"/>
                <w:szCs w:val="18"/>
              </w:rPr>
            </w:pPr>
          </w:p>
        </w:tc>
        <w:tc>
          <w:tcPr>
            <w:cnfStyle w:val="000010000000"/>
            <w:tcW w:w="819" w:type="dxa"/>
            <w:shd w:val="clear" w:color="auto" w:fill="auto"/>
            <w:vAlign w:val="center"/>
          </w:tcPr>
          <w:p w:rsidR="00BF34B6" w:rsidRPr="00677F83" w:rsidRDefault="00BF34B6" w:rsidP="001F0251">
            <w:pPr>
              <w:tabs>
                <w:tab w:val="decimal" w:pos="244"/>
              </w:tabs>
              <w:adjustRightInd w:val="0"/>
              <w:snapToGrid w:val="0"/>
              <w:ind w:firstLineChars="0" w:firstLine="0"/>
              <w:rPr>
                <w:rFonts w:eastAsia="MS PGothic"/>
                <w:sz w:val="18"/>
                <w:szCs w:val="18"/>
              </w:rPr>
            </w:pPr>
            <w:r w:rsidRPr="00677F83">
              <w:rPr>
                <w:rFonts w:eastAsia="MS PGothic"/>
                <w:sz w:val="18"/>
                <w:szCs w:val="18"/>
              </w:rPr>
              <w:t>2.707</w:t>
            </w:r>
          </w:p>
        </w:tc>
        <w:tc>
          <w:tcPr>
            <w:tcW w:w="820" w:type="dxa"/>
            <w:shd w:val="clear" w:color="auto" w:fill="auto"/>
            <w:vAlign w:val="center"/>
          </w:tcPr>
          <w:p w:rsidR="00BF34B6" w:rsidRPr="00677F83" w:rsidRDefault="00BF34B6" w:rsidP="001F0251">
            <w:pPr>
              <w:tabs>
                <w:tab w:val="decimal" w:pos="170"/>
              </w:tabs>
              <w:adjustRightInd w:val="0"/>
              <w:snapToGrid w:val="0"/>
              <w:ind w:firstLineChars="0" w:firstLine="0"/>
              <w:cnfStyle w:val="000000100000"/>
              <w:rPr>
                <w:rFonts w:eastAsiaTheme="minorEastAsia"/>
                <w:sz w:val="18"/>
                <w:szCs w:val="18"/>
              </w:rPr>
            </w:pPr>
            <w:r w:rsidRPr="00677F83">
              <w:rPr>
                <w:rFonts w:eastAsiaTheme="minorEastAsia"/>
                <w:sz w:val="18"/>
                <w:szCs w:val="18"/>
              </w:rPr>
              <w:t>0.84</w:t>
            </w:r>
          </w:p>
        </w:tc>
      </w:tr>
      <w:tr w:rsidR="00BF34B6" w:rsidRPr="00D51C66" w:rsidTr="00BF34B6">
        <w:trPr>
          <w:trHeight w:val="255"/>
          <w:jc w:val="center"/>
        </w:trPr>
        <w:tc>
          <w:tcPr>
            <w:cnfStyle w:val="001000000000"/>
            <w:tcW w:w="1300" w:type="dxa"/>
            <w:shd w:val="clear" w:color="auto" w:fill="auto"/>
            <w:vAlign w:val="center"/>
          </w:tcPr>
          <w:p w:rsidR="00BF34B6" w:rsidRPr="00D51C66" w:rsidRDefault="00BF34B6" w:rsidP="001F0251">
            <w:pPr>
              <w:adjustRightInd w:val="0"/>
              <w:snapToGrid w:val="0"/>
              <w:ind w:firstLineChars="0" w:firstLine="0"/>
              <w:rPr>
                <w:rFonts w:eastAsia="MS PGothic"/>
                <w:b w:val="0"/>
                <w:sz w:val="18"/>
                <w:szCs w:val="18"/>
              </w:rPr>
            </w:pPr>
            <w:r w:rsidRPr="00D51C66">
              <w:rPr>
                <w:rFonts w:eastAsia="MS PGothic"/>
                <w:b w:val="0"/>
                <w:sz w:val="18"/>
                <w:szCs w:val="18"/>
              </w:rPr>
              <w:t>Intercept</w:t>
            </w:r>
          </w:p>
        </w:tc>
        <w:tc>
          <w:tcPr>
            <w:cnfStyle w:val="000010000000"/>
            <w:tcW w:w="874" w:type="dxa"/>
            <w:shd w:val="clear" w:color="auto" w:fill="auto"/>
            <w:vAlign w:val="center"/>
          </w:tcPr>
          <w:p w:rsidR="00BF34B6" w:rsidRPr="00D51C66" w:rsidRDefault="00BF34B6" w:rsidP="001F0251">
            <w:pPr>
              <w:adjustRightInd w:val="0"/>
              <w:snapToGrid w:val="0"/>
              <w:ind w:firstLineChars="0" w:firstLine="0"/>
              <w:rPr>
                <w:rFonts w:eastAsia="MS PGothic"/>
                <w:sz w:val="18"/>
                <w:szCs w:val="18"/>
              </w:rPr>
            </w:pPr>
            <w:r w:rsidRPr="00D51C66">
              <w:rPr>
                <w:rFonts w:eastAsia="MS PGothic"/>
                <w:sz w:val="18"/>
                <w:szCs w:val="18"/>
              </w:rPr>
              <w:t>?</w:t>
            </w:r>
          </w:p>
        </w:tc>
        <w:tc>
          <w:tcPr>
            <w:tcW w:w="903" w:type="dxa"/>
            <w:shd w:val="clear" w:color="auto" w:fill="auto"/>
            <w:vAlign w:val="center"/>
          </w:tcPr>
          <w:p w:rsidR="00BF34B6" w:rsidRPr="00D51C66" w:rsidRDefault="00BF34B6" w:rsidP="001F0251">
            <w:pPr>
              <w:tabs>
                <w:tab w:val="decimal" w:pos="272"/>
              </w:tabs>
              <w:adjustRightInd w:val="0"/>
              <w:snapToGrid w:val="0"/>
              <w:ind w:firstLineChars="0" w:firstLine="0"/>
              <w:cnfStyle w:val="000000000000"/>
              <w:rPr>
                <w:rFonts w:eastAsia="MS PGothic"/>
                <w:sz w:val="18"/>
                <w:szCs w:val="18"/>
              </w:rPr>
            </w:pPr>
            <w:r w:rsidRPr="00D51C66">
              <w:rPr>
                <w:rFonts w:eastAsia="MS PGothic"/>
                <w:sz w:val="18"/>
                <w:szCs w:val="18"/>
              </w:rPr>
              <w:t>0.477</w:t>
            </w:r>
          </w:p>
        </w:tc>
        <w:tc>
          <w:tcPr>
            <w:cnfStyle w:val="000010000000"/>
            <w:tcW w:w="903" w:type="dxa"/>
            <w:shd w:val="clear" w:color="auto" w:fill="auto"/>
            <w:vAlign w:val="center"/>
          </w:tcPr>
          <w:p w:rsidR="00BF34B6" w:rsidRPr="00677F83" w:rsidRDefault="00BF34B6" w:rsidP="001F0251">
            <w:pPr>
              <w:tabs>
                <w:tab w:val="decimal" w:pos="170"/>
              </w:tabs>
              <w:adjustRightInd w:val="0"/>
              <w:snapToGrid w:val="0"/>
              <w:ind w:firstLineChars="0" w:firstLine="0"/>
              <w:rPr>
                <w:rFonts w:eastAsiaTheme="minorEastAsia"/>
                <w:sz w:val="18"/>
                <w:szCs w:val="18"/>
              </w:rPr>
            </w:pPr>
            <w:r w:rsidRPr="00677F83">
              <w:rPr>
                <w:rFonts w:eastAsiaTheme="minorEastAsia"/>
                <w:sz w:val="18"/>
                <w:szCs w:val="18"/>
              </w:rPr>
              <w:t>0.18</w:t>
            </w:r>
          </w:p>
        </w:tc>
        <w:tc>
          <w:tcPr>
            <w:tcW w:w="155" w:type="dxa"/>
            <w:tcBorders>
              <w:left w:val="nil"/>
            </w:tcBorders>
            <w:shd w:val="clear" w:color="auto" w:fill="auto"/>
            <w:vAlign w:val="center"/>
          </w:tcPr>
          <w:p w:rsidR="00BF34B6" w:rsidRPr="00D51C66" w:rsidRDefault="00BF34B6" w:rsidP="001F0251">
            <w:pPr>
              <w:adjustRightInd w:val="0"/>
              <w:snapToGrid w:val="0"/>
              <w:ind w:firstLineChars="0" w:firstLine="0"/>
              <w:cnfStyle w:val="000000000000"/>
              <w:rPr>
                <w:rFonts w:eastAsia="MS PGothic"/>
                <w:sz w:val="18"/>
                <w:szCs w:val="18"/>
              </w:rPr>
            </w:pPr>
          </w:p>
        </w:tc>
        <w:tc>
          <w:tcPr>
            <w:cnfStyle w:val="000010000000"/>
            <w:tcW w:w="839" w:type="dxa"/>
            <w:shd w:val="clear" w:color="auto" w:fill="auto"/>
            <w:vAlign w:val="center"/>
          </w:tcPr>
          <w:p w:rsidR="00BF34B6" w:rsidRPr="00D51C66" w:rsidRDefault="00BF34B6" w:rsidP="001F0251">
            <w:pPr>
              <w:tabs>
                <w:tab w:val="decimal" w:pos="272"/>
              </w:tabs>
              <w:adjustRightInd w:val="0"/>
              <w:snapToGrid w:val="0"/>
              <w:ind w:firstLineChars="0" w:firstLine="0"/>
              <w:rPr>
                <w:rFonts w:eastAsia="MS PGothic"/>
                <w:sz w:val="18"/>
                <w:szCs w:val="18"/>
              </w:rPr>
            </w:pPr>
            <w:r w:rsidRPr="00D51C66">
              <w:rPr>
                <w:rFonts w:eastAsia="MS PGothic"/>
                <w:sz w:val="18"/>
                <w:szCs w:val="18"/>
              </w:rPr>
              <w:t>-1.548</w:t>
            </w:r>
          </w:p>
        </w:tc>
        <w:tc>
          <w:tcPr>
            <w:tcW w:w="840" w:type="dxa"/>
            <w:tcBorders>
              <w:right w:val="nil"/>
            </w:tcBorders>
            <w:shd w:val="clear" w:color="auto" w:fill="auto"/>
            <w:vAlign w:val="center"/>
          </w:tcPr>
          <w:p w:rsidR="00BF34B6" w:rsidRPr="00677F83" w:rsidRDefault="00BF34B6" w:rsidP="001F0251">
            <w:pPr>
              <w:tabs>
                <w:tab w:val="decimal" w:pos="170"/>
              </w:tabs>
              <w:adjustRightInd w:val="0"/>
              <w:snapToGrid w:val="0"/>
              <w:ind w:firstLineChars="0" w:firstLine="0"/>
              <w:cnfStyle w:val="000000000000"/>
              <w:rPr>
                <w:rFonts w:eastAsiaTheme="minorEastAsia"/>
                <w:sz w:val="18"/>
                <w:szCs w:val="18"/>
              </w:rPr>
            </w:pPr>
            <w:r w:rsidRPr="00677F83">
              <w:rPr>
                <w:rFonts w:eastAsiaTheme="minorEastAsia"/>
                <w:sz w:val="18"/>
                <w:szCs w:val="18"/>
              </w:rPr>
              <w:t>-0.72</w:t>
            </w:r>
          </w:p>
        </w:tc>
        <w:tc>
          <w:tcPr>
            <w:cnfStyle w:val="000010000000"/>
            <w:tcW w:w="164" w:type="dxa"/>
            <w:shd w:val="clear" w:color="auto" w:fill="auto"/>
            <w:vAlign w:val="center"/>
          </w:tcPr>
          <w:p w:rsidR="00BF34B6" w:rsidRPr="00D51C66" w:rsidRDefault="00BF34B6" w:rsidP="001F0251">
            <w:pPr>
              <w:adjustRightInd w:val="0"/>
              <w:snapToGrid w:val="0"/>
              <w:ind w:firstLineChars="0" w:firstLine="0"/>
              <w:rPr>
                <w:rFonts w:eastAsia="MS PGothic"/>
                <w:sz w:val="18"/>
                <w:szCs w:val="18"/>
              </w:rPr>
            </w:pPr>
          </w:p>
        </w:tc>
        <w:tc>
          <w:tcPr>
            <w:tcW w:w="850" w:type="dxa"/>
            <w:shd w:val="clear" w:color="auto" w:fill="auto"/>
            <w:vAlign w:val="center"/>
          </w:tcPr>
          <w:p w:rsidR="00BF34B6" w:rsidRPr="00D51C66" w:rsidRDefault="00BF34B6" w:rsidP="001F0251">
            <w:pPr>
              <w:tabs>
                <w:tab w:val="decimal" w:pos="272"/>
              </w:tabs>
              <w:adjustRightInd w:val="0"/>
              <w:snapToGrid w:val="0"/>
              <w:ind w:firstLineChars="0" w:firstLine="0"/>
              <w:cnfStyle w:val="000000000000"/>
              <w:rPr>
                <w:rFonts w:eastAsia="MS PGothic"/>
                <w:sz w:val="18"/>
                <w:szCs w:val="18"/>
              </w:rPr>
            </w:pPr>
            <w:r w:rsidRPr="00D51C66">
              <w:rPr>
                <w:rFonts w:eastAsia="MS PGothic"/>
                <w:sz w:val="18"/>
                <w:szCs w:val="18"/>
              </w:rPr>
              <w:t>1.195</w:t>
            </w:r>
          </w:p>
        </w:tc>
        <w:tc>
          <w:tcPr>
            <w:cnfStyle w:val="000010000000"/>
            <w:tcW w:w="851" w:type="dxa"/>
            <w:shd w:val="clear" w:color="auto" w:fill="auto"/>
            <w:vAlign w:val="center"/>
          </w:tcPr>
          <w:p w:rsidR="00BF34B6" w:rsidRPr="00677F83" w:rsidRDefault="00BF34B6" w:rsidP="001F0251">
            <w:pPr>
              <w:tabs>
                <w:tab w:val="decimal" w:pos="170"/>
              </w:tabs>
              <w:adjustRightInd w:val="0"/>
              <w:snapToGrid w:val="0"/>
              <w:ind w:firstLineChars="0" w:firstLine="0"/>
              <w:rPr>
                <w:rFonts w:eastAsiaTheme="minorEastAsia"/>
                <w:sz w:val="18"/>
                <w:szCs w:val="18"/>
              </w:rPr>
            </w:pPr>
            <w:r w:rsidRPr="00677F83">
              <w:rPr>
                <w:rFonts w:eastAsiaTheme="minorEastAsia"/>
                <w:sz w:val="18"/>
                <w:szCs w:val="18"/>
              </w:rPr>
              <w:t>0.43</w:t>
            </w:r>
          </w:p>
        </w:tc>
        <w:tc>
          <w:tcPr>
            <w:tcW w:w="142" w:type="dxa"/>
            <w:tcBorders>
              <w:left w:val="nil"/>
            </w:tcBorders>
            <w:shd w:val="clear" w:color="auto" w:fill="auto"/>
            <w:vAlign w:val="center"/>
          </w:tcPr>
          <w:p w:rsidR="00BF34B6" w:rsidRPr="00D51C66" w:rsidRDefault="00BF34B6" w:rsidP="001F0251">
            <w:pPr>
              <w:adjustRightInd w:val="0"/>
              <w:snapToGrid w:val="0"/>
              <w:ind w:firstLineChars="0" w:firstLine="0"/>
              <w:cnfStyle w:val="000000000000"/>
              <w:rPr>
                <w:rFonts w:eastAsia="MS PGothic"/>
                <w:sz w:val="18"/>
                <w:szCs w:val="18"/>
              </w:rPr>
            </w:pPr>
          </w:p>
        </w:tc>
        <w:tc>
          <w:tcPr>
            <w:cnfStyle w:val="000010000000"/>
            <w:tcW w:w="819" w:type="dxa"/>
            <w:shd w:val="clear" w:color="auto" w:fill="auto"/>
            <w:vAlign w:val="center"/>
          </w:tcPr>
          <w:p w:rsidR="00BF34B6" w:rsidRPr="00677F83" w:rsidRDefault="00BF34B6" w:rsidP="001F0251">
            <w:pPr>
              <w:tabs>
                <w:tab w:val="decimal" w:pos="244"/>
              </w:tabs>
              <w:adjustRightInd w:val="0"/>
              <w:snapToGrid w:val="0"/>
              <w:ind w:firstLineChars="0" w:firstLine="0"/>
              <w:rPr>
                <w:rFonts w:eastAsia="MS PGothic"/>
                <w:sz w:val="18"/>
                <w:szCs w:val="18"/>
              </w:rPr>
            </w:pPr>
            <w:r w:rsidRPr="00677F83">
              <w:rPr>
                <w:rFonts w:eastAsia="MS PGothic"/>
                <w:sz w:val="18"/>
                <w:szCs w:val="18"/>
              </w:rPr>
              <w:t>1.596</w:t>
            </w:r>
          </w:p>
        </w:tc>
        <w:tc>
          <w:tcPr>
            <w:tcW w:w="820" w:type="dxa"/>
            <w:shd w:val="clear" w:color="auto" w:fill="auto"/>
            <w:vAlign w:val="center"/>
          </w:tcPr>
          <w:p w:rsidR="00BF34B6" w:rsidRPr="00677F83" w:rsidRDefault="00BF34B6" w:rsidP="001F0251">
            <w:pPr>
              <w:tabs>
                <w:tab w:val="decimal" w:pos="170"/>
              </w:tabs>
              <w:adjustRightInd w:val="0"/>
              <w:snapToGrid w:val="0"/>
              <w:ind w:firstLineChars="0" w:firstLine="0"/>
              <w:cnfStyle w:val="000000000000"/>
              <w:rPr>
                <w:rFonts w:eastAsiaTheme="minorEastAsia"/>
                <w:sz w:val="18"/>
                <w:szCs w:val="18"/>
              </w:rPr>
            </w:pPr>
            <w:r w:rsidRPr="00677F83">
              <w:rPr>
                <w:rFonts w:eastAsiaTheme="minorEastAsia"/>
                <w:sz w:val="18"/>
                <w:szCs w:val="18"/>
              </w:rPr>
              <w:t>0.63</w:t>
            </w:r>
          </w:p>
        </w:tc>
      </w:tr>
      <w:tr w:rsidR="00BF34B6" w:rsidRPr="00D51C66" w:rsidTr="00BF34B6">
        <w:trPr>
          <w:cnfStyle w:val="000000100000"/>
          <w:trHeight w:val="255"/>
          <w:jc w:val="center"/>
        </w:trPr>
        <w:tc>
          <w:tcPr>
            <w:cnfStyle w:val="001000000000"/>
            <w:tcW w:w="1300" w:type="dxa"/>
            <w:shd w:val="clear" w:color="auto" w:fill="auto"/>
            <w:vAlign w:val="center"/>
          </w:tcPr>
          <w:p w:rsidR="00BF34B6" w:rsidRPr="00D51C66" w:rsidRDefault="00BF34B6" w:rsidP="001F0251">
            <w:pPr>
              <w:adjustRightInd w:val="0"/>
              <w:snapToGrid w:val="0"/>
              <w:ind w:firstLineChars="0" w:firstLine="0"/>
              <w:rPr>
                <w:rFonts w:eastAsia="MS PGothic"/>
                <w:b w:val="0"/>
                <w:sz w:val="18"/>
                <w:szCs w:val="18"/>
              </w:rPr>
            </w:pPr>
            <w:r w:rsidRPr="00D51C66">
              <w:rPr>
                <w:rFonts w:eastAsia="MS PGothic"/>
                <w:b w:val="0"/>
                <w:sz w:val="18"/>
                <w:szCs w:val="18"/>
              </w:rPr>
              <w:t>Wald</w:t>
            </w:r>
          </w:p>
        </w:tc>
        <w:tc>
          <w:tcPr>
            <w:cnfStyle w:val="000010000000"/>
            <w:tcW w:w="874" w:type="dxa"/>
            <w:shd w:val="clear" w:color="auto" w:fill="auto"/>
            <w:vAlign w:val="center"/>
          </w:tcPr>
          <w:p w:rsidR="00BF34B6" w:rsidRPr="00D51C66" w:rsidRDefault="00BF34B6" w:rsidP="001F0251">
            <w:pPr>
              <w:adjustRightInd w:val="0"/>
              <w:snapToGrid w:val="0"/>
              <w:ind w:firstLineChars="0" w:firstLine="0"/>
              <w:rPr>
                <w:rFonts w:eastAsia="MS PGothic"/>
                <w:sz w:val="18"/>
                <w:szCs w:val="18"/>
              </w:rPr>
            </w:pPr>
          </w:p>
        </w:tc>
        <w:tc>
          <w:tcPr>
            <w:tcW w:w="1806" w:type="dxa"/>
            <w:gridSpan w:val="2"/>
            <w:shd w:val="clear" w:color="auto" w:fill="auto"/>
            <w:vAlign w:val="center"/>
          </w:tcPr>
          <w:p w:rsidR="00BF34B6" w:rsidRPr="00D51C66" w:rsidRDefault="00BF34B6" w:rsidP="001F0251">
            <w:pPr>
              <w:tabs>
                <w:tab w:val="decimal" w:pos="272"/>
              </w:tabs>
              <w:adjustRightInd w:val="0"/>
              <w:snapToGrid w:val="0"/>
              <w:ind w:firstLineChars="0" w:firstLine="0"/>
              <w:cnfStyle w:val="000000100000"/>
              <w:rPr>
                <w:rFonts w:eastAsia="MS PGothic"/>
                <w:sz w:val="18"/>
                <w:szCs w:val="18"/>
              </w:rPr>
            </w:pPr>
            <w:r w:rsidRPr="00D51C66">
              <w:rPr>
                <w:rFonts w:eastAsia="MS PGothic"/>
                <w:sz w:val="18"/>
                <w:szCs w:val="18"/>
              </w:rPr>
              <w:t>81.7</w:t>
            </w:r>
            <w:r w:rsidRPr="00677F83">
              <w:rPr>
                <w:rFonts w:eastAsia="MS PGothic"/>
                <w:sz w:val="18"/>
                <w:szCs w:val="18"/>
                <w:vertAlign w:val="superscript"/>
              </w:rPr>
              <w:t>***</w:t>
            </w:r>
          </w:p>
        </w:tc>
        <w:tc>
          <w:tcPr>
            <w:cnfStyle w:val="000010000000"/>
            <w:tcW w:w="155" w:type="dxa"/>
            <w:shd w:val="clear" w:color="auto" w:fill="auto"/>
            <w:vAlign w:val="center"/>
          </w:tcPr>
          <w:p w:rsidR="00BF34B6" w:rsidRPr="00D51C66" w:rsidRDefault="00BF34B6" w:rsidP="001F0251">
            <w:pPr>
              <w:tabs>
                <w:tab w:val="decimal" w:pos="272"/>
              </w:tabs>
              <w:adjustRightInd w:val="0"/>
              <w:snapToGrid w:val="0"/>
              <w:ind w:firstLineChars="0" w:firstLine="0"/>
              <w:rPr>
                <w:rFonts w:eastAsia="MS PGothic"/>
                <w:sz w:val="18"/>
                <w:szCs w:val="18"/>
              </w:rPr>
            </w:pPr>
          </w:p>
        </w:tc>
        <w:tc>
          <w:tcPr>
            <w:tcW w:w="1679" w:type="dxa"/>
            <w:gridSpan w:val="2"/>
            <w:shd w:val="clear" w:color="auto" w:fill="auto"/>
            <w:vAlign w:val="center"/>
          </w:tcPr>
          <w:p w:rsidR="00BF34B6" w:rsidRPr="00D51C66" w:rsidRDefault="00BF34B6" w:rsidP="001F0251">
            <w:pPr>
              <w:tabs>
                <w:tab w:val="decimal" w:pos="272"/>
              </w:tabs>
              <w:adjustRightInd w:val="0"/>
              <w:snapToGrid w:val="0"/>
              <w:ind w:firstLineChars="0" w:firstLine="0"/>
              <w:cnfStyle w:val="000000100000"/>
              <w:rPr>
                <w:rFonts w:eastAsia="MS PGothic"/>
                <w:sz w:val="18"/>
                <w:szCs w:val="18"/>
              </w:rPr>
            </w:pPr>
            <w:r w:rsidRPr="00D51C66">
              <w:rPr>
                <w:rFonts w:eastAsia="MS PGothic"/>
                <w:sz w:val="18"/>
                <w:szCs w:val="18"/>
              </w:rPr>
              <w:t>64.46</w:t>
            </w:r>
            <w:r w:rsidR="00677F83" w:rsidRPr="00677F83">
              <w:rPr>
                <w:rFonts w:eastAsiaTheme="minorEastAsia"/>
                <w:sz w:val="18"/>
                <w:szCs w:val="18"/>
                <w:vertAlign w:val="superscript"/>
              </w:rPr>
              <w:t>***</w:t>
            </w:r>
          </w:p>
        </w:tc>
        <w:tc>
          <w:tcPr>
            <w:cnfStyle w:val="000010000000"/>
            <w:tcW w:w="164" w:type="dxa"/>
            <w:shd w:val="clear" w:color="auto" w:fill="auto"/>
            <w:vAlign w:val="center"/>
          </w:tcPr>
          <w:p w:rsidR="00BF34B6" w:rsidRPr="00D51C66" w:rsidRDefault="00BF34B6" w:rsidP="001F0251">
            <w:pPr>
              <w:adjustRightInd w:val="0"/>
              <w:snapToGrid w:val="0"/>
              <w:ind w:firstLineChars="0" w:firstLine="0"/>
              <w:rPr>
                <w:rFonts w:eastAsia="MS PGothic"/>
                <w:sz w:val="18"/>
                <w:szCs w:val="18"/>
              </w:rPr>
            </w:pPr>
          </w:p>
        </w:tc>
        <w:tc>
          <w:tcPr>
            <w:tcW w:w="1701" w:type="dxa"/>
            <w:gridSpan w:val="2"/>
            <w:shd w:val="clear" w:color="auto" w:fill="auto"/>
            <w:vAlign w:val="center"/>
          </w:tcPr>
          <w:p w:rsidR="00BF34B6" w:rsidRPr="00D51C66" w:rsidRDefault="00BF34B6" w:rsidP="001F0251">
            <w:pPr>
              <w:tabs>
                <w:tab w:val="decimal" w:pos="272"/>
              </w:tabs>
              <w:adjustRightInd w:val="0"/>
              <w:snapToGrid w:val="0"/>
              <w:ind w:firstLineChars="0" w:firstLine="0"/>
              <w:cnfStyle w:val="000000100000"/>
              <w:rPr>
                <w:rFonts w:eastAsia="MS PGothic"/>
                <w:sz w:val="18"/>
                <w:szCs w:val="18"/>
              </w:rPr>
            </w:pPr>
            <w:r w:rsidRPr="00D51C66">
              <w:rPr>
                <w:rFonts w:eastAsia="MS PGothic"/>
                <w:sz w:val="18"/>
                <w:szCs w:val="18"/>
              </w:rPr>
              <w:t>91.66</w:t>
            </w:r>
            <w:r w:rsidR="00677F83" w:rsidRPr="00677F83">
              <w:rPr>
                <w:rFonts w:eastAsiaTheme="minorEastAsia"/>
                <w:sz w:val="18"/>
                <w:szCs w:val="18"/>
                <w:vertAlign w:val="superscript"/>
              </w:rPr>
              <w:t>***</w:t>
            </w:r>
          </w:p>
        </w:tc>
        <w:tc>
          <w:tcPr>
            <w:cnfStyle w:val="000010000000"/>
            <w:tcW w:w="142" w:type="dxa"/>
            <w:shd w:val="clear" w:color="auto" w:fill="auto"/>
            <w:vAlign w:val="center"/>
          </w:tcPr>
          <w:p w:rsidR="00BF34B6" w:rsidRPr="00D51C66" w:rsidRDefault="00BF34B6" w:rsidP="001F0251">
            <w:pPr>
              <w:adjustRightInd w:val="0"/>
              <w:snapToGrid w:val="0"/>
              <w:ind w:firstLineChars="0" w:firstLine="0"/>
              <w:rPr>
                <w:rFonts w:eastAsia="MS PGothic"/>
                <w:sz w:val="18"/>
                <w:szCs w:val="18"/>
              </w:rPr>
            </w:pPr>
          </w:p>
        </w:tc>
        <w:tc>
          <w:tcPr>
            <w:tcW w:w="1639" w:type="dxa"/>
            <w:gridSpan w:val="2"/>
            <w:shd w:val="clear" w:color="auto" w:fill="auto"/>
            <w:vAlign w:val="center"/>
          </w:tcPr>
          <w:p w:rsidR="00BF34B6" w:rsidRPr="00677F83" w:rsidRDefault="00BF34B6" w:rsidP="001F0251">
            <w:pPr>
              <w:tabs>
                <w:tab w:val="decimal" w:pos="244"/>
              </w:tabs>
              <w:adjustRightInd w:val="0"/>
              <w:snapToGrid w:val="0"/>
              <w:ind w:firstLineChars="0" w:firstLine="0"/>
              <w:cnfStyle w:val="000000100000"/>
              <w:rPr>
                <w:rFonts w:eastAsia="MS PGothic"/>
                <w:sz w:val="18"/>
                <w:szCs w:val="18"/>
              </w:rPr>
            </w:pPr>
            <w:r w:rsidRPr="00677F83">
              <w:rPr>
                <w:rFonts w:eastAsia="MS PGothic"/>
                <w:sz w:val="18"/>
                <w:szCs w:val="18"/>
              </w:rPr>
              <w:t>89.09</w:t>
            </w:r>
            <w:r w:rsidR="00677F83" w:rsidRPr="00677F83">
              <w:rPr>
                <w:rFonts w:eastAsiaTheme="minorEastAsia"/>
                <w:sz w:val="18"/>
                <w:szCs w:val="18"/>
                <w:vertAlign w:val="superscript"/>
              </w:rPr>
              <w:t>***</w:t>
            </w:r>
          </w:p>
        </w:tc>
      </w:tr>
      <w:tr w:rsidR="00BF34B6" w:rsidRPr="00D51C66" w:rsidTr="00BF34B6">
        <w:trPr>
          <w:trHeight w:val="255"/>
          <w:jc w:val="center"/>
        </w:trPr>
        <w:tc>
          <w:tcPr>
            <w:cnfStyle w:val="001000000000"/>
            <w:tcW w:w="1300" w:type="dxa"/>
            <w:tcBorders>
              <w:bottom w:val="single" w:sz="12" w:space="0" w:color="000000" w:themeColor="text1"/>
            </w:tcBorders>
            <w:shd w:val="clear" w:color="auto" w:fill="auto"/>
            <w:vAlign w:val="center"/>
          </w:tcPr>
          <w:p w:rsidR="00BF34B6" w:rsidRPr="00D51C66" w:rsidRDefault="00BF34B6" w:rsidP="001F0251">
            <w:pPr>
              <w:adjustRightInd w:val="0"/>
              <w:snapToGrid w:val="0"/>
              <w:ind w:firstLineChars="0" w:firstLine="0"/>
              <w:rPr>
                <w:rFonts w:eastAsia="MS PGothic"/>
                <w:b w:val="0"/>
                <w:sz w:val="18"/>
                <w:szCs w:val="18"/>
              </w:rPr>
            </w:pPr>
            <w:r w:rsidRPr="00BF34B6">
              <w:rPr>
                <w:rFonts w:eastAsia="MS PGothic"/>
                <w:b w:val="0"/>
                <w:i/>
                <w:sz w:val="18"/>
                <w:szCs w:val="18"/>
              </w:rPr>
              <w:t>R</w:t>
            </w:r>
            <w:r w:rsidRPr="00D51C66">
              <w:rPr>
                <w:rFonts w:eastAsia="MS PGothic"/>
                <w:b w:val="0"/>
                <w:sz w:val="18"/>
                <w:szCs w:val="18"/>
              </w:rPr>
              <w:t>-squared</w:t>
            </w:r>
          </w:p>
        </w:tc>
        <w:tc>
          <w:tcPr>
            <w:cnfStyle w:val="000010000000"/>
            <w:tcW w:w="874" w:type="dxa"/>
            <w:tcBorders>
              <w:bottom w:val="single" w:sz="12" w:space="0" w:color="000000" w:themeColor="text1"/>
            </w:tcBorders>
            <w:shd w:val="clear" w:color="auto" w:fill="auto"/>
            <w:vAlign w:val="center"/>
          </w:tcPr>
          <w:p w:rsidR="00BF34B6" w:rsidRPr="00D51C66" w:rsidRDefault="00BF34B6" w:rsidP="001F0251">
            <w:pPr>
              <w:adjustRightInd w:val="0"/>
              <w:snapToGrid w:val="0"/>
              <w:ind w:firstLineChars="0" w:firstLine="0"/>
              <w:rPr>
                <w:rFonts w:eastAsia="MS PGothic"/>
                <w:sz w:val="18"/>
                <w:szCs w:val="18"/>
              </w:rPr>
            </w:pPr>
          </w:p>
        </w:tc>
        <w:tc>
          <w:tcPr>
            <w:tcW w:w="1806" w:type="dxa"/>
            <w:gridSpan w:val="2"/>
            <w:tcBorders>
              <w:bottom w:val="single" w:sz="12" w:space="0" w:color="000000" w:themeColor="text1"/>
              <w:right w:val="nil"/>
            </w:tcBorders>
            <w:shd w:val="clear" w:color="auto" w:fill="auto"/>
            <w:vAlign w:val="center"/>
          </w:tcPr>
          <w:p w:rsidR="00BF34B6" w:rsidRPr="00D51C66" w:rsidRDefault="00BF34B6" w:rsidP="001F0251">
            <w:pPr>
              <w:tabs>
                <w:tab w:val="decimal" w:pos="272"/>
              </w:tabs>
              <w:adjustRightInd w:val="0"/>
              <w:snapToGrid w:val="0"/>
              <w:ind w:firstLineChars="0" w:firstLine="0"/>
              <w:cnfStyle w:val="000000000000"/>
              <w:rPr>
                <w:rFonts w:eastAsia="MS PGothic"/>
                <w:sz w:val="18"/>
                <w:szCs w:val="18"/>
              </w:rPr>
            </w:pPr>
            <w:r w:rsidRPr="00D51C66">
              <w:rPr>
                <w:rFonts w:eastAsia="MS PGothic"/>
                <w:sz w:val="18"/>
                <w:szCs w:val="18"/>
              </w:rPr>
              <w:t>0.4174</w:t>
            </w:r>
          </w:p>
        </w:tc>
        <w:tc>
          <w:tcPr>
            <w:cnfStyle w:val="000010000000"/>
            <w:tcW w:w="155" w:type="dxa"/>
            <w:tcBorders>
              <w:bottom w:val="single" w:sz="12" w:space="0" w:color="000000" w:themeColor="text1"/>
            </w:tcBorders>
            <w:shd w:val="clear" w:color="auto" w:fill="auto"/>
            <w:vAlign w:val="center"/>
          </w:tcPr>
          <w:p w:rsidR="00BF34B6" w:rsidRPr="00D51C66" w:rsidRDefault="00BF34B6" w:rsidP="001F0251">
            <w:pPr>
              <w:tabs>
                <w:tab w:val="decimal" w:pos="272"/>
              </w:tabs>
              <w:adjustRightInd w:val="0"/>
              <w:snapToGrid w:val="0"/>
              <w:ind w:firstLineChars="0" w:firstLine="0"/>
              <w:rPr>
                <w:rFonts w:eastAsia="MS PGothic"/>
                <w:sz w:val="18"/>
                <w:szCs w:val="18"/>
              </w:rPr>
            </w:pPr>
          </w:p>
        </w:tc>
        <w:tc>
          <w:tcPr>
            <w:tcW w:w="1679" w:type="dxa"/>
            <w:gridSpan w:val="2"/>
            <w:tcBorders>
              <w:bottom w:val="single" w:sz="12" w:space="0" w:color="000000" w:themeColor="text1"/>
              <w:right w:val="nil"/>
            </w:tcBorders>
            <w:shd w:val="clear" w:color="auto" w:fill="auto"/>
            <w:vAlign w:val="center"/>
          </w:tcPr>
          <w:p w:rsidR="00BF34B6" w:rsidRPr="00D51C66" w:rsidRDefault="00BF34B6" w:rsidP="001F0251">
            <w:pPr>
              <w:tabs>
                <w:tab w:val="decimal" w:pos="272"/>
              </w:tabs>
              <w:adjustRightInd w:val="0"/>
              <w:snapToGrid w:val="0"/>
              <w:ind w:firstLineChars="0" w:firstLine="0"/>
              <w:cnfStyle w:val="000000000000"/>
              <w:rPr>
                <w:rFonts w:eastAsia="MS PGothic"/>
                <w:sz w:val="18"/>
                <w:szCs w:val="18"/>
              </w:rPr>
            </w:pPr>
            <w:r w:rsidRPr="00D51C66">
              <w:rPr>
                <w:rFonts w:eastAsia="MS PGothic"/>
                <w:sz w:val="18"/>
                <w:szCs w:val="18"/>
              </w:rPr>
              <w:t>0.3945</w:t>
            </w:r>
          </w:p>
        </w:tc>
        <w:tc>
          <w:tcPr>
            <w:cnfStyle w:val="000010000000"/>
            <w:tcW w:w="164" w:type="dxa"/>
            <w:tcBorders>
              <w:bottom w:val="single" w:sz="12" w:space="0" w:color="000000" w:themeColor="text1"/>
            </w:tcBorders>
            <w:shd w:val="clear" w:color="auto" w:fill="auto"/>
            <w:vAlign w:val="center"/>
          </w:tcPr>
          <w:p w:rsidR="00BF34B6" w:rsidRPr="00D51C66" w:rsidRDefault="00BF34B6" w:rsidP="001F0251">
            <w:pPr>
              <w:adjustRightInd w:val="0"/>
              <w:snapToGrid w:val="0"/>
              <w:ind w:firstLineChars="0" w:firstLine="0"/>
              <w:rPr>
                <w:rFonts w:eastAsia="MS PGothic"/>
                <w:sz w:val="18"/>
                <w:szCs w:val="18"/>
              </w:rPr>
            </w:pPr>
          </w:p>
        </w:tc>
        <w:tc>
          <w:tcPr>
            <w:tcW w:w="1701" w:type="dxa"/>
            <w:gridSpan w:val="2"/>
            <w:tcBorders>
              <w:bottom w:val="single" w:sz="12" w:space="0" w:color="000000" w:themeColor="text1"/>
              <w:right w:val="nil"/>
            </w:tcBorders>
            <w:shd w:val="clear" w:color="auto" w:fill="auto"/>
            <w:vAlign w:val="center"/>
          </w:tcPr>
          <w:p w:rsidR="00BF34B6" w:rsidRPr="00D51C66" w:rsidRDefault="00BF34B6" w:rsidP="001F0251">
            <w:pPr>
              <w:tabs>
                <w:tab w:val="decimal" w:pos="272"/>
              </w:tabs>
              <w:adjustRightInd w:val="0"/>
              <w:snapToGrid w:val="0"/>
              <w:ind w:firstLineChars="0" w:firstLine="0"/>
              <w:cnfStyle w:val="000000000000"/>
              <w:rPr>
                <w:rFonts w:eastAsia="MS PGothic"/>
                <w:sz w:val="18"/>
                <w:szCs w:val="18"/>
              </w:rPr>
            </w:pPr>
            <w:r w:rsidRPr="00D51C66">
              <w:rPr>
                <w:rFonts w:eastAsia="MS PGothic"/>
                <w:sz w:val="18"/>
                <w:szCs w:val="18"/>
              </w:rPr>
              <w:t>0.3693</w:t>
            </w:r>
          </w:p>
        </w:tc>
        <w:tc>
          <w:tcPr>
            <w:cnfStyle w:val="000010000000"/>
            <w:tcW w:w="142" w:type="dxa"/>
            <w:tcBorders>
              <w:bottom w:val="single" w:sz="12" w:space="0" w:color="000000" w:themeColor="text1"/>
            </w:tcBorders>
            <w:shd w:val="clear" w:color="auto" w:fill="auto"/>
            <w:vAlign w:val="center"/>
          </w:tcPr>
          <w:p w:rsidR="00BF34B6" w:rsidRPr="00D51C66" w:rsidRDefault="00BF34B6" w:rsidP="001F0251">
            <w:pPr>
              <w:adjustRightInd w:val="0"/>
              <w:snapToGrid w:val="0"/>
              <w:ind w:firstLineChars="0" w:firstLine="0"/>
              <w:rPr>
                <w:rFonts w:eastAsia="MS PGothic"/>
                <w:sz w:val="18"/>
                <w:szCs w:val="18"/>
              </w:rPr>
            </w:pPr>
          </w:p>
        </w:tc>
        <w:tc>
          <w:tcPr>
            <w:tcW w:w="1639" w:type="dxa"/>
            <w:gridSpan w:val="2"/>
            <w:tcBorders>
              <w:bottom w:val="single" w:sz="12" w:space="0" w:color="000000" w:themeColor="text1"/>
            </w:tcBorders>
            <w:shd w:val="clear" w:color="auto" w:fill="auto"/>
            <w:vAlign w:val="center"/>
          </w:tcPr>
          <w:p w:rsidR="00BF34B6" w:rsidRPr="00677F83" w:rsidRDefault="00BF34B6" w:rsidP="001F0251">
            <w:pPr>
              <w:tabs>
                <w:tab w:val="decimal" w:pos="244"/>
              </w:tabs>
              <w:adjustRightInd w:val="0"/>
              <w:snapToGrid w:val="0"/>
              <w:ind w:firstLineChars="0" w:firstLine="0"/>
              <w:cnfStyle w:val="000000000000"/>
              <w:rPr>
                <w:rFonts w:eastAsia="MS PGothic"/>
                <w:sz w:val="18"/>
                <w:szCs w:val="18"/>
              </w:rPr>
            </w:pPr>
            <w:r w:rsidRPr="00677F83">
              <w:rPr>
                <w:rFonts w:eastAsia="MS PGothic"/>
                <w:sz w:val="18"/>
                <w:szCs w:val="18"/>
              </w:rPr>
              <w:t>0.357</w:t>
            </w:r>
          </w:p>
        </w:tc>
      </w:tr>
    </w:tbl>
    <w:p w:rsidR="00C968F8" w:rsidRDefault="00C968F8" w:rsidP="001F0251">
      <w:pPr>
        <w:snapToGrid w:val="0"/>
        <w:spacing w:line="288" w:lineRule="auto"/>
        <w:ind w:firstLineChars="0" w:firstLine="0"/>
      </w:pPr>
      <w:r w:rsidRPr="00A701F7">
        <w:rPr>
          <w:rFonts w:hint="eastAsia"/>
          <w:i/>
          <w:sz w:val="18"/>
          <w:szCs w:val="18"/>
        </w:rPr>
        <w:t>Note</w:t>
      </w:r>
      <w:r>
        <w:rPr>
          <w:rFonts w:hint="eastAsia"/>
          <w:sz w:val="18"/>
          <w:szCs w:val="18"/>
        </w:rPr>
        <w:t xml:space="preserve">. </w:t>
      </w:r>
      <w:r w:rsidRPr="007D270E">
        <w:rPr>
          <w:sz w:val="18"/>
          <w:szCs w:val="18"/>
          <w:vertAlign w:val="superscript"/>
        </w:rPr>
        <w:t>***</w:t>
      </w:r>
      <w:r>
        <w:rPr>
          <w:rFonts w:hint="eastAsia"/>
          <w:sz w:val="18"/>
          <w:szCs w:val="18"/>
        </w:rPr>
        <w:t xml:space="preserve">, </w:t>
      </w:r>
      <w:r w:rsidRPr="007D270E">
        <w:rPr>
          <w:sz w:val="18"/>
          <w:szCs w:val="18"/>
          <w:vertAlign w:val="superscript"/>
        </w:rPr>
        <w:t>**</w:t>
      </w:r>
      <w:r>
        <w:rPr>
          <w:rFonts w:hint="eastAsia"/>
          <w:sz w:val="18"/>
          <w:szCs w:val="18"/>
        </w:rPr>
        <w:t xml:space="preserve">, and </w:t>
      </w:r>
      <w:r w:rsidRPr="007D270E">
        <w:rPr>
          <w:sz w:val="18"/>
          <w:szCs w:val="18"/>
          <w:vertAlign w:val="superscript"/>
        </w:rPr>
        <w:t>*</w:t>
      </w:r>
      <w:r w:rsidRPr="007D270E">
        <w:rPr>
          <w:rFonts w:hint="eastAsia"/>
          <w:sz w:val="18"/>
          <w:szCs w:val="18"/>
        </w:rPr>
        <w:t xml:space="preserve"> </w:t>
      </w:r>
      <w:r w:rsidRPr="007D270E">
        <w:rPr>
          <w:sz w:val="18"/>
          <w:szCs w:val="18"/>
        </w:rPr>
        <w:t>i</w:t>
      </w:r>
      <w:r>
        <w:rPr>
          <w:sz w:val="18"/>
          <w:szCs w:val="18"/>
        </w:rPr>
        <w:t>ndicate</w:t>
      </w:r>
      <w:r w:rsidRPr="00A701F7">
        <w:rPr>
          <w:sz w:val="18"/>
          <w:szCs w:val="18"/>
        </w:rPr>
        <w:t xml:space="preserve"> significance at </w:t>
      </w:r>
      <w:r>
        <w:rPr>
          <w:rFonts w:hint="eastAsia"/>
          <w:sz w:val="18"/>
          <w:szCs w:val="18"/>
        </w:rPr>
        <w:t>the levels of 0</w:t>
      </w:r>
      <w:r w:rsidRPr="00A701F7">
        <w:rPr>
          <w:sz w:val="18"/>
          <w:szCs w:val="18"/>
        </w:rPr>
        <w:t>.01</w:t>
      </w:r>
      <w:r>
        <w:rPr>
          <w:rFonts w:hint="eastAsia"/>
          <w:sz w:val="18"/>
          <w:szCs w:val="18"/>
        </w:rPr>
        <w:t>, 0.</w:t>
      </w:r>
      <w:r>
        <w:rPr>
          <w:sz w:val="18"/>
          <w:szCs w:val="18"/>
        </w:rPr>
        <w:t>05, and</w:t>
      </w:r>
      <w:r>
        <w:rPr>
          <w:rFonts w:hint="eastAsia"/>
          <w:sz w:val="18"/>
          <w:szCs w:val="18"/>
        </w:rPr>
        <w:t xml:space="preserve"> 0</w:t>
      </w:r>
      <w:r>
        <w:rPr>
          <w:sz w:val="18"/>
          <w:szCs w:val="18"/>
        </w:rPr>
        <w:t>.10</w:t>
      </w:r>
      <w:r w:rsidRPr="00A701F7">
        <w:rPr>
          <w:sz w:val="18"/>
          <w:szCs w:val="18"/>
        </w:rPr>
        <w:t xml:space="preserve"> </w:t>
      </w:r>
      <w:r>
        <w:rPr>
          <w:rFonts w:hint="eastAsia"/>
          <w:sz w:val="18"/>
          <w:szCs w:val="18"/>
        </w:rPr>
        <w:t>(</w:t>
      </w:r>
      <w:r w:rsidRPr="00A701F7">
        <w:rPr>
          <w:sz w:val="18"/>
          <w:szCs w:val="18"/>
        </w:rPr>
        <w:t>two-tailed test</w:t>
      </w:r>
      <w:r>
        <w:rPr>
          <w:rFonts w:hint="eastAsia"/>
          <w:sz w:val="18"/>
          <w:szCs w:val="18"/>
        </w:rPr>
        <w:t>)</w:t>
      </w:r>
      <w:r>
        <w:rPr>
          <w:rFonts w:hint="eastAsia"/>
        </w:rPr>
        <w:t>.</w:t>
      </w:r>
    </w:p>
    <w:p w:rsidR="00BF34B6" w:rsidRPr="00A701F7" w:rsidRDefault="00BF34B6" w:rsidP="001F0251">
      <w:pPr>
        <w:adjustRightInd w:val="0"/>
        <w:snapToGrid w:val="0"/>
        <w:ind w:firstLineChars="0" w:firstLine="0"/>
        <w:jc w:val="left"/>
        <w:rPr>
          <w:sz w:val="12"/>
        </w:rPr>
      </w:pPr>
    </w:p>
    <w:p w:rsidR="00BF34B6" w:rsidRPr="00651D93" w:rsidRDefault="00BF34B6" w:rsidP="001F0251">
      <w:pPr>
        <w:ind w:firstLine="420"/>
        <w:rPr>
          <w:iCs/>
        </w:rPr>
      </w:pPr>
      <w:r w:rsidRPr="00651D93">
        <w:rPr>
          <w:iCs/>
        </w:rPr>
        <w:t>With respect to H3, companies with high advertising investments</w:t>
      </w:r>
      <w:r w:rsidRPr="00651D93">
        <w:rPr>
          <w:rFonts w:hint="eastAsia"/>
          <w:iCs/>
        </w:rPr>
        <w:t xml:space="preserve"> </w:t>
      </w:r>
      <w:r w:rsidRPr="00651D93">
        <w:rPr>
          <w:iCs/>
        </w:rPr>
        <w:t xml:space="preserve">and high effective tax rates are evaluated positively in the market. </w:t>
      </w:r>
      <w:r w:rsidR="00677F83" w:rsidRPr="00651D93">
        <w:rPr>
          <w:rFonts w:hint="eastAsia"/>
          <w:iCs/>
        </w:rPr>
        <w:t>Although a</w:t>
      </w:r>
      <w:r w:rsidRPr="00651D93">
        <w:rPr>
          <w:iCs/>
        </w:rPr>
        <w:t>n application of TPT causes distrust by investors, we assume that investors also evaluate the a</w:t>
      </w:r>
      <w:r w:rsidR="00AA47C3">
        <w:rPr>
          <w:iCs/>
        </w:rPr>
        <w:t>ctiveness of information disclo</w:t>
      </w:r>
      <w:r w:rsidRPr="00651D93">
        <w:rPr>
          <w:iCs/>
        </w:rPr>
        <w:t>sure of companies</w:t>
      </w:r>
      <w:r w:rsidRPr="00651D93">
        <w:rPr>
          <w:rFonts w:hint="eastAsia"/>
          <w:iCs/>
        </w:rPr>
        <w:t xml:space="preserve"> </w:t>
      </w:r>
      <w:r w:rsidRPr="00651D93">
        <w:rPr>
          <w:iCs/>
        </w:rPr>
        <w:t>with high advertising investments. Similarly, as Hanlon and Slemrod</w:t>
      </w:r>
      <w:r w:rsidRPr="00651D93">
        <w:rPr>
          <w:rFonts w:hint="eastAsia"/>
          <w:iCs/>
        </w:rPr>
        <w:t xml:space="preserve"> </w:t>
      </w:r>
      <w:r w:rsidRPr="00651D93">
        <w:rPr>
          <w:iCs/>
        </w:rPr>
        <w:t>(2009) indicate</w:t>
      </w:r>
      <w:r w:rsidR="00677F83" w:rsidRPr="00651D93">
        <w:rPr>
          <w:rFonts w:hint="eastAsia"/>
          <w:iCs/>
        </w:rPr>
        <w:t>d</w:t>
      </w:r>
      <w:r w:rsidR="00677F83" w:rsidRPr="00651D93">
        <w:rPr>
          <w:iCs/>
        </w:rPr>
        <w:t xml:space="preserve"> that</w:t>
      </w:r>
      <w:r w:rsidRPr="00651D93">
        <w:rPr>
          <w:iCs/>
        </w:rPr>
        <w:t xml:space="preserve"> because the companies</w:t>
      </w:r>
      <w:r w:rsidRPr="00651D93">
        <w:rPr>
          <w:rFonts w:hint="eastAsia"/>
          <w:iCs/>
        </w:rPr>
        <w:t xml:space="preserve"> </w:t>
      </w:r>
      <w:r w:rsidRPr="00651D93">
        <w:rPr>
          <w:iCs/>
        </w:rPr>
        <w:t>with high effective tax rates</w:t>
      </w:r>
      <w:r w:rsidRPr="00651D93">
        <w:rPr>
          <w:rFonts w:hint="eastAsia"/>
          <w:iCs/>
        </w:rPr>
        <w:t xml:space="preserve"> </w:t>
      </w:r>
      <w:r w:rsidRPr="00651D93">
        <w:rPr>
          <w:iCs/>
        </w:rPr>
        <w:t>are considered to be good corporate citizens, they</w:t>
      </w:r>
      <w:r w:rsidRPr="00651D93">
        <w:rPr>
          <w:rFonts w:hint="eastAsia"/>
          <w:iCs/>
        </w:rPr>
        <w:t xml:space="preserve"> </w:t>
      </w:r>
      <w:r w:rsidRPr="00651D93">
        <w:rPr>
          <w:iCs/>
        </w:rPr>
        <w:t>are evaluated positively. Advertising investment creates brand</w:t>
      </w:r>
      <w:r w:rsidRPr="00651D93">
        <w:rPr>
          <w:rFonts w:hint="eastAsia"/>
          <w:iCs/>
        </w:rPr>
        <w:t xml:space="preserve"> </w:t>
      </w:r>
      <w:r w:rsidRPr="00651D93">
        <w:rPr>
          <w:iCs/>
        </w:rPr>
        <w:t xml:space="preserve">awareness by </w:t>
      </w:r>
      <w:r w:rsidR="00677F83" w:rsidRPr="00651D93">
        <w:rPr>
          <w:rFonts w:hint="eastAsia"/>
          <w:iCs/>
        </w:rPr>
        <w:t xml:space="preserve">an </w:t>
      </w:r>
      <w:r w:rsidRPr="00651D93">
        <w:rPr>
          <w:iCs/>
        </w:rPr>
        <w:t xml:space="preserve">active disclosure of company information, and advertising investment enhances a company’s reputation as a good corporate citizen and contributes to raising transparency. Investors evaluate </w:t>
      </w:r>
      <w:r w:rsidR="00677F83" w:rsidRPr="00651D93">
        <w:rPr>
          <w:rFonts w:hint="eastAsia"/>
          <w:iCs/>
        </w:rPr>
        <w:t xml:space="preserve">the </w:t>
      </w:r>
      <w:r w:rsidRPr="00651D93">
        <w:rPr>
          <w:iCs/>
        </w:rPr>
        <w:t>application of TPT neg</w:t>
      </w:r>
      <w:r w:rsidR="00677F83" w:rsidRPr="00651D93">
        <w:rPr>
          <w:iCs/>
        </w:rPr>
        <w:t>atively, but from this evidence</w:t>
      </w:r>
      <w:r w:rsidRPr="00651D93">
        <w:rPr>
          <w:iCs/>
        </w:rPr>
        <w:t xml:space="preserve"> as well as that of Hanlon and Slemrod</w:t>
      </w:r>
      <w:r w:rsidRPr="00651D93">
        <w:rPr>
          <w:rFonts w:hint="eastAsia"/>
          <w:iCs/>
        </w:rPr>
        <w:t xml:space="preserve"> </w:t>
      </w:r>
      <w:r w:rsidRPr="00651D93">
        <w:rPr>
          <w:iCs/>
        </w:rPr>
        <w:t>(2009), we think that investors evaluate a company engaging in advertising investment and making appropriate tax payments</w:t>
      </w:r>
      <w:r w:rsidRPr="00651D93">
        <w:rPr>
          <w:rFonts w:hint="eastAsia"/>
          <w:iCs/>
        </w:rPr>
        <w:t xml:space="preserve"> </w:t>
      </w:r>
      <w:r w:rsidRPr="00651D93">
        <w:rPr>
          <w:iCs/>
        </w:rPr>
        <w:t>positively.</w:t>
      </w:r>
    </w:p>
    <w:p w:rsidR="00BF34B6" w:rsidRPr="00651D93" w:rsidRDefault="00BF34B6" w:rsidP="001F0251">
      <w:pPr>
        <w:ind w:firstLine="420"/>
        <w:rPr>
          <w:iCs/>
        </w:rPr>
      </w:pPr>
      <w:r w:rsidRPr="00651D93">
        <w:rPr>
          <w:iCs/>
        </w:rPr>
        <w:t>With respect to H4, when a market reacts to an executive compensation</w:t>
      </w:r>
      <w:r w:rsidRPr="00651D93">
        <w:rPr>
          <w:rFonts w:hint="eastAsia"/>
          <w:iCs/>
        </w:rPr>
        <w:t xml:space="preserve"> </w:t>
      </w:r>
      <w:r w:rsidRPr="00651D93">
        <w:rPr>
          <w:iCs/>
        </w:rPr>
        <w:t>(</w:t>
      </w:r>
      <w:r w:rsidRPr="00651D93">
        <w:rPr>
          <w:i/>
          <w:iCs/>
        </w:rPr>
        <w:t>Compensation</w:t>
      </w:r>
      <w:r w:rsidRPr="00651D93">
        <w:rPr>
          <w:iCs/>
        </w:rPr>
        <w:t>) negatively,</w:t>
      </w:r>
      <w:r w:rsidRPr="00651D93">
        <w:rPr>
          <w:rFonts w:hint="eastAsia"/>
          <w:iCs/>
        </w:rPr>
        <w:t xml:space="preserve"> </w:t>
      </w:r>
      <w:r w:rsidRPr="00651D93">
        <w:rPr>
          <w:iCs/>
        </w:rPr>
        <w:t>the market is suspecting whether</w:t>
      </w:r>
      <w:r w:rsidRPr="00651D93">
        <w:rPr>
          <w:rFonts w:hint="eastAsia"/>
          <w:iCs/>
        </w:rPr>
        <w:t xml:space="preserve"> </w:t>
      </w:r>
      <w:r w:rsidRPr="00651D93">
        <w:rPr>
          <w:iCs/>
        </w:rPr>
        <w:t xml:space="preserve">the manager extracts </w:t>
      </w:r>
      <w:r w:rsidRPr="00651D93">
        <w:t>rents or not</w:t>
      </w:r>
      <w:r w:rsidRPr="00651D93">
        <w:rPr>
          <w:iCs/>
        </w:rPr>
        <w:t>. In consideration of the above, the</w:t>
      </w:r>
      <w:r w:rsidRPr="00651D93">
        <w:rPr>
          <w:rFonts w:hint="eastAsia"/>
          <w:iCs/>
        </w:rPr>
        <w:t xml:space="preserve"> </w:t>
      </w:r>
      <w:r w:rsidRPr="00651D93">
        <w:rPr>
          <w:iCs/>
        </w:rPr>
        <w:t>reaction of the market to executive compensation is</w:t>
      </w:r>
      <w:r w:rsidRPr="00651D93">
        <w:rPr>
          <w:rFonts w:hint="eastAsia"/>
          <w:iCs/>
        </w:rPr>
        <w:t xml:space="preserve"> </w:t>
      </w:r>
      <w:r w:rsidRPr="00651D93">
        <w:rPr>
          <w:iCs/>
        </w:rPr>
        <w:t xml:space="preserve">not consistent </w:t>
      </w:r>
      <w:r w:rsidR="00677F83" w:rsidRPr="00651D93">
        <w:rPr>
          <w:rFonts w:hint="eastAsia"/>
          <w:iCs/>
        </w:rPr>
        <w:t>among</w:t>
      </w:r>
      <w:r w:rsidRPr="00651D93">
        <w:rPr>
          <w:iCs/>
        </w:rPr>
        <w:t xml:space="preserve"> models, but we interpret the results as that the market reacts to executive compensation positively. Of course, when TPT is applied</w:t>
      </w:r>
      <w:r w:rsidRPr="00651D93">
        <w:rPr>
          <w:rFonts w:hint="eastAsia"/>
          <w:iCs/>
        </w:rPr>
        <w:t xml:space="preserve"> </w:t>
      </w:r>
      <w:r w:rsidRPr="00651D93">
        <w:rPr>
          <w:iCs/>
        </w:rPr>
        <w:t>to a company, it is difficult to claim that CG functions well, but from that</w:t>
      </w:r>
      <w:r w:rsidR="00677F83" w:rsidRPr="00651D93">
        <w:rPr>
          <w:rFonts w:hint="eastAsia"/>
          <w:iCs/>
        </w:rPr>
        <w:t>,</w:t>
      </w:r>
      <w:r w:rsidRPr="00651D93">
        <w:rPr>
          <w:iCs/>
        </w:rPr>
        <w:t xml:space="preserve"> the market shows a positive</w:t>
      </w:r>
      <w:r w:rsidRPr="00651D93">
        <w:rPr>
          <w:rFonts w:hint="eastAsia"/>
          <w:iCs/>
        </w:rPr>
        <w:t xml:space="preserve"> </w:t>
      </w:r>
      <w:r w:rsidRPr="00651D93">
        <w:rPr>
          <w:iCs/>
        </w:rPr>
        <w:t>reaction to executive compensation;</w:t>
      </w:r>
      <w:r w:rsidRPr="00651D93">
        <w:rPr>
          <w:rFonts w:hint="eastAsia"/>
          <w:iCs/>
        </w:rPr>
        <w:t xml:space="preserve"> </w:t>
      </w:r>
      <w:r w:rsidRPr="00651D93">
        <w:rPr>
          <w:iCs/>
        </w:rPr>
        <w:t xml:space="preserve">we suggest that investors are less likely to suspect the manager </w:t>
      </w:r>
      <w:r w:rsidR="00651D93" w:rsidRPr="00651D93">
        <w:rPr>
          <w:rFonts w:hint="eastAsia"/>
          <w:iCs/>
        </w:rPr>
        <w:t>of</w:t>
      </w:r>
      <w:r w:rsidRPr="00651D93">
        <w:rPr>
          <w:rFonts w:hint="eastAsia"/>
          <w:iCs/>
        </w:rPr>
        <w:t xml:space="preserve"> </w:t>
      </w:r>
      <w:r w:rsidRPr="00651D93">
        <w:t>rent extraction</w:t>
      </w:r>
      <w:r w:rsidRPr="00651D93">
        <w:rPr>
          <w:iCs/>
        </w:rPr>
        <w:t>.</w:t>
      </w:r>
    </w:p>
    <w:p w:rsidR="00D51C66" w:rsidRPr="00C30A0C" w:rsidRDefault="00D51C66" w:rsidP="0026344E">
      <w:pPr>
        <w:suppressAutoHyphens/>
        <w:kinsoku w:val="0"/>
        <w:overflowPunct w:val="0"/>
        <w:autoSpaceDE w:val="0"/>
        <w:autoSpaceDN w:val="0"/>
        <w:spacing w:beforeLines="50" w:afterLines="30"/>
        <w:ind w:firstLineChars="0" w:firstLine="0"/>
        <w:jc w:val="center"/>
        <w:textAlignment w:val="baseline"/>
        <w:rPr>
          <w:rFonts w:eastAsia="MS Gothic"/>
          <w:b/>
          <w:sz w:val="24"/>
        </w:rPr>
      </w:pPr>
      <w:r w:rsidRPr="00C30A0C">
        <w:rPr>
          <w:rFonts w:eastAsia="MS Gothic"/>
          <w:b/>
          <w:sz w:val="24"/>
        </w:rPr>
        <w:t>Conclusion</w:t>
      </w:r>
      <w:r w:rsidR="009058CC">
        <w:rPr>
          <w:rFonts w:eastAsiaTheme="minorEastAsia" w:hint="eastAsia"/>
          <w:b/>
          <w:sz w:val="24"/>
        </w:rPr>
        <w:t>s</w:t>
      </w:r>
      <w:r w:rsidRPr="00C30A0C">
        <w:rPr>
          <w:rFonts w:eastAsia="MS Gothic"/>
          <w:b/>
          <w:sz w:val="24"/>
        </w:rPr>
        <w:t xml:space="preserve"> </w:t>
      </w:r>
      <w:r w:rsidR="00C30A0C" w:rsidRPr="00C30A0C">
        <w:rPr>
          <w:rFonts w:eastAsia="MS Gothic"/>
          <w:b/>
          <w:sz w:val="24"/>
        </w:rPr>
        <w:t>and Suggested Future Work</w:t>
      </w:r>
    </w:p>
    <w:p w:rsidR="00D51C66" w:rsidRPr="00D51C66" w:rsidRDefault="00D51C66" w:rsidP="001F0251">
      <w:pPr>
        <w:ind w:firstLine="420"/>
      </w:pPr>
      <w:r w:rsidRPr="00D51C66">
        <w:t xml:space="preserve">This paper examines how the market evaluates news of TPT by investigating the market reaction to an initial press </w:t>
      </w:r>
      <w:r w:rsidR="00677F83">
        <w:rPr>
          <w:rFonts w:hint="eastAsia"/>
        </w:rPr>
        <w:t xml:space="preserve">report </w:t>
      </w:r>
      <w:r w:rsidR="00677F83">
        <w:t>mentio</w:t>
      </w:r>
      <w:r w:rsidR="00677F83">
        <w:rPr>
          <w:rFonts w:hint="eastAsia"/>
        </w:rPr>
        <w:t>ning</w:t>
      </w:r>
      <w:r w:rsidRPr="00D51C66">
        <w:t xml:space="preserve"> that a firm was involved in a TP manipulation and tax underpayment.</w:t>
      </w:r>
    </w:p>
    <w:p w:rsidR="00D51C66" w:rsidRPr="005B61FE" w:rsidRDefault="00677F83" w:rsidP="001F0251">
      <w:pPr>
        <w:ind w:firstLine="420"/>
      </w:pPr>
      <w:r w:rsidRPr="005B61FE">
        <w:t>As a result of event</w:t>
      </w:r>
      <w:r w:rsidRPr="005B61FE">
        <w:rPr>
          <w:rFonts w:hint="eastAsia"/>
        </w:rPr>
        <w:t xml:space="preserve"> </w:t>
      </w:r>
      <w:r w:rsidR="00D51C66" w:rsidRPr="005B61FE">
        <w:t>study analysis, we find that the capital market shows</w:t>
      </w:r>
      <w:r w:rsidRPr="005B61FE">
        <w:rPr>
          <w:rFonts w:hint="eastAsia"/>
        </w:rPr>
        <w:t xml:space="preserve"> </w:t>
      </w:r>
      <w:r w:rsidR="00D51C66" w:rsidRPr="005B61FE">
        <w:t>a statistically significant negative reaction to newspaper reports of the application of TPT. The market shows a significantly negative reaction for a total of 10</w:t>
      </w:r>
      <w:r w:rsidRPr="005B61FE">
        <w:rPr>
          <w:rFonts w:hint="eastAsia"/>
        </w:rPr>
        <w:t xml:space="preserve"> </w:t>
      </w:r>
      <w:r w:rsidR="00D51C66" w:rsidRPr="005B61FE">
        <w:t>days and shows a significantly negative reaction</w:t>
      </w:r>
      <w:r w:rsidRPr="005B61FE">
        <w:rPr>
          <w:rFonts w:hint="eastAsia"/>
        </w:rPr>
        <w:t xml:space="preserve"> </w:t>
      </w:r>
      <w:r w:rsidR="00D51C66" w:rsidRPr="005B61FE">
        <w:t xml:space="preserve">at the </w:t>
      </w:r>
      <w:r w:rsidRPr="005B61FE">
        <w:rPr>
          <w:rFonts w:hint="eastAsia"/>
        </w:rPr>
        <w:t xml:space="preserve">level of </w:t>
      </w:r>
      <w:r w:rsidR="00D51C66" w:rsidRPr="005B61FE">
        <w:t xml:space="preserve">5% </w:t>
      </w:r>
      <w:r w:rsidRPr="005B61FE">
        <w:t xml:space="preserve">for </w:t>
      </w:r>
      <w:r w:rsidRPr="005B61FE">
        <w:rPr>
          <w:rFonts w:hint="eastAsia"/>
        </w:rPr>
        <w:t>three</w:t>
      </w:r>
      <w:r w:rsidR="00D51C66" w:rsidRPr="005B61FE">
        <w:t xml:space="preserve"> days.</w:t>
      </w:r>
    </w:p>
    <w:p w:rsidR="00D51C66" w:rsidRPr="005B61FE" w:rsidRDefault="00D51C66" w:rsidP="001F0251">
      <w:pPr>
        <w:ind w:firstLine="420"/>
      </w:pPr>
      <w:r w:rsidRPr="005B61FE">
        <w:lastRenderedPageBreak/>
        <w:t xml:space="preserve">Next, we carry out </w:t>
      </w:r>
      <w:r w:rsidR="00677F83" w:rsidRPr="005B61FE">
        <w:rPr>
          <w:rFonts w:hint="eastAsia"/>
        </w:rPr>
        <w:t xml:space="preserve">a </w:t>
      </w:r>
      <w:r w:rsidRPr="005B61FE">
        <w:t xml:space="preserve">multiple regression analysis of AR and sum the daily AR over a given time period to calculate CAR. Using CAR as a dependent variable, we then perform </w:t>
      </w:r>
      <w:r w:rsidR="00677F83" w:rsidRPr="005B61FE">
        <w:rPr>
          <w:rFonts w:hint="eastAsia"/>
        </w:rPr>
        <w:t xml:space="preserve">a </w:t>
      </w:r>
      <w:r w:rsidRPr="005B61FE">
        <w:t>multiple regression analysis to identify the source of market reactions. The results</w:t>
      </w:r>
      <w:r w:rsidR="00677F83" w:rsidRPr="005B61FE">
        <w:rPr>
          <w:rFonts w:hint="eastAsia"/>
        </w:rPr>
        <w:t xml:space="preserve"> </w:t>
      </w:r>
      <w:r w:rsidRPr="005B61FE">
        <w:t xml:space="preserve">indicate that the number of subsidiaries, ratio of overseas sales, </w:t>
      </w:r>
      <w:r w:rsidRPr="005B61FE">
        <w:rPr>
          <w:iCs/>
        </w:rPr>
        <w:t>intangible fixed assets on the balance sheet</w:t>
      </w:r>
      <w:r w:rsidRPr="005B61FE">
        <w:t>, advertising-to-sales ratio, and effective tax rate</w:t>
      </w:r>
      <w:r w:rsidR="00677F83" w:rsidRPr="005B61FE">
        <w:rPr>
          <w:rFonts w:hint="eastAsia"/>
        </w:rPr>
        <w:t xml:space="preserve"> </w:t>
      </w:r>
      <w:r w:rsidRPr="005B61FE">
        <w:t>are</w:t>
      </w:r>
      <w:r w:rsidR="00677F83" w:rsidRPr="005B61FE">
        <w:rPr>
          <w:rFonts w:hint="eastAsia"/>
        </w:rPr>
        <w:t xml:space="preserve"> </w:t>
      </w:r>
      <w:r w:rsidRPr="005B61FE">
        <w:t>statistically significant. The market shows a positive reaction to variables</w:t>
      </w:r>
      <w:r w:rsidR="00677F83" w:rsidRPr="005B61FE">
        <w:rPr>
          <w:rFonts w:hint="eastAsia"/>
        </w:rPr>
        <w:t xml:space="preserve"> </w:t>
      </w:r>
      <w:r w:rsidRPr="005B61FE">
        <w:t>strongly related to the future and the transparency of the company, such as the ratio of overseas sales and advertising-to-sales</w:t>
      </w:r>
      <w:r w:rsidR="00677F83" w:rsidRPr="005B61FE">
        <w:rPr>
          <w:rFonts w:hint="eastAsia"/>
        </w:rPr>
        <w:t xml:space="preserve"> </w:t>
      </w:r>
      <w:r w:rsidRPr="005B61FE">
        <w:t>ratio, or variables suggesting compliance, such as effective tax rate. In contrast, the market shows a negative reaction to variables</w:t>
      </w:r>
      <w:r w:rsidR="00677F83" w:rsidRPr="005B61FE">
        <w:rPr>
          <w:rFonts w:hint="eastAsia"/>
        </w:rPr>
        <w:t xml:space="preserve"> </w:t>
      </w:r>
      <w:r w:rsidRPr="005B61FE">
        <w:t>that</w:t>
      </w:r>
      <w:r w:rsidR="00677F83" w:rsidRPr="005B61FE">
        <w:rPr>
          <w:rFonts w:hint="eastAsia"/>
        </w:rPr>
        <w:t xml:space="preserve"> </w:t>
      </w:r>
      <w:r w:rsidRPr="005B61FE">
        <w:t>indicate intensity of information</w:t>
      </w:r>
      <w:r w:rsidR="00677F83" w:rsidRPr="005B61FE">
        <w:rPr>
          <w:rFonts w:hint="eastAsia"/>
        </w:rPr>
        <w:t xml:space="preserve"> </w:t>
      </w:r>
      <w:r w:rsidRPr="005B61FE">
        <w:t>asymmetry,</w:t>
      </w:r>
      <w:r w:rsidR="00677F83" w:rsidRPr="005B61FE">
        <w:rPr>
          <w:rFonts w:hint="eastAsia"/>
        </w:rPr>
        <w:t xml:space="preserve"> </w:t>
      </w:r>
      <w:r w:rsidRPr="005B61FE">
        <w:t xml:space="preserve">such as the number of subsidiaries and amount of </w:t>
      </w:r>
      <w:r w:rsidRPr="005B61FE">
        <w:rPr>
          <w:iCs/>
        </w:rPr>
        <w:t>intangible fixed assets on the balance sheet</w:t>
      </w:r>
      <w:r w:rsidRPr="005B61FE">
        <w:t>. In addition, we think that the suspicion of rent extraction</w:t>
      </w:r>
      <w:r w:rsidR="00677F83" w:rsidRPr="005B61FE">
        <w:rPr>
          <w:rFonts w:hint="eastAsia"/>
        </w:rPr>
        <w:t xml:space="preserve"> </w:t>
      </w:r>
      <w:r w:rsidRPr="005B61FE">
        <w:rPr>
          <w:iCs/>
        </w:rPr>
        <w:t xml:space="preserve">by the manager, which </w:t>
      </w:r>
      <w:r w:rsidRPr="005B61FE">
        <w:t>Hanlon and Slemrod</w:t>
      </w:r>
      <w:r w:rsidR="00677F83" w:rsidRPr="005B61FE">
        <w:rPr>
          <w:rFonts w:hint="eastAsia"/>
        </w:rPr>
        <w:t xml:space="preserve"> </w:t>
      </w:r>
      <w:r w:rsidRPr="005B61FE">
        <w:t>(2009)</w:t>
      </w:r>
      <w:r w:rsidR="00677F83" w:rsidRPr="005B61FE">
        <w:rPr>
          <w:rFonts w:hint="eastAsia"/>
        </w:rPr>
        <w:t xml:space="preserve"> </w:t>
      </w:r>
      <w:r w:rsidRPr="005B61FE">
        <w:t>suggest</w:t>
      </w:r>
      <w:r w:rsidR="00677F83" w:rsidRPr="005B61FE">
        <w:rPr>
          <w:rFonts w:hint="eastAsia"/>
        </w:rPr>
        <w:t>ed</w:t>
      </w:r>
      <w:r w:rsidRPr="005B61FE">
        <w:t>, does not fit our sample, based on the reaction of investors to the advertising-to-sales</w:t>
      </w:r>
      <w:r w:rsidR="00677F83" w:rsidRPr="005B61FE">
        <w:rPr>
          <w:rFonts w:hint="eastAsia"/>
        </w:rPr>
        <w:t xml:space="preserve"> </w:t>
      </w:r>
      <w:r w:rsidRPr="005B61FE">
        <w:t>ratio</w:t>
      </w:r>
      <w:r w:rsidR="00677F83" w:rsidRPr="005B61FE">
        <w:rPr>
          <w:rFonts w:hint="eastAsia"/>
        </w:rPr>
        <w:t xml:space="preserve"> </w:t>
      </w:r>
      <w:r w:rsidRPr="005B61FE">
        <w:t xml:space="preserve">and </w:t>
      </w:r>
      <w:r w:rsidRPr="005B61FE">
        <w:rPr>
          <w:iCs/>
        </w:rPr>
        <w:t xml:space="preserve">executive compensation. </w:t>
      </w:r>
      <w:r w:rsidRPr="005B61FE">
        <w:t xml:space="preserve">From these results, we suspect that </w:t>
      </w:r>
      <w:r w:rsidR="00B305AD" w:rsidRPr="005B61FE">
        <w:rPr>
          <w:i/>
        </w:rPr>
        <w:t>Leverage</w:t>
      </w:r>
      <w:r w:rsidRPr="005B61FE">
        <w:t>, which is used as a proxy variable for legal tax reduction activity, is not appropriate for this analysis.</w:t>
      </w:r>
    </w:p>
    <w:p w:rsidR="00D51C66" w:rsidRPr="005B61FE" w:rsidRDefault="00D51C66" w:rsidP="001F0251">
      <w:pPr>
        <w:ind w:firstLine="420"/>
        <w:rPr>
          <w:b/>
          <w:color w:val="0000FF"/>
        </w:rPr>
      </w:pPr>
      <w:r w:rsidRPr="005B61FE">
        <w:t xml:space="preserve">In future work, we need to investigate further what causes market reactions. Similarly, we need to analyze what types of </w:t>
      </w:r>
      <w:r w:rsidRPr="005B61FE">
        <w:rPr>
          <w:iCs/>
        </w:rPr>
        <w:t>intangible fixed assets</w:t>
      </w:r>
      <w:r w:rsidRPr="005B61FE">
        <w:t xml:space="preserve"> the market reacts to.</w:t>
      </w:r>
    </w:p>
    <w:p w:rsidR="00D51C66" w:rsidRPr="00C30A0C" w:rsidRDefault="00D51C66" w:rsidP="0026344E">
      <w:pPr>
        <w:spacing w:beforeLines="50" w:afterLines="30"/>
        <w:ind w:firstLineChars="0" w:firstLine="0"/>
        <w:jc w:val="center"/>
        <w:rPr>
          <w:b/>
          <w:iCs/>
          <w:sz w:val="24"/>
        </w:rPr>
      </w:pPr>
      <w:r w:rsidRPr="00C30A0C">
        <w:rPr>
          <w:b/>
          <w:iCs/>
          <w:sz w:val="24"/>
        </w:rPr>
        <w:t>References</w:t>
      </w:r>
    </w:p>
    <w:p w:rsidR="00651D93" w:rsidRPr="005B61FE" w:rsidRDefault="00651D93" w:rsidP="001F0251">
      <w:pPr>
        <w:snapToGrid w:val="0"/>
        <w:spacing w:line="288" w:lineRule="auto"/>
        <w:ind w:left="360" w:hangingChars="200" w:hanging="360"/>
        <w:rPr>
          <w:iCs/>
          <w:color w:val="000000"/>
          <w:sz w:val="18"/>
        </w:rPr>
      </w:pPr>
      <w:r w:rsidRPr="005B61FE">
        <w:rPr>
          <w:iCs/>
          <w:color w:val="000000"/>
          <w:sz w:val="18"/>
        </w:rPr>
        <w:t>Armstrong, C.</w:t>
      </w:r>
      <w:r>
        <w:rPr>
          <w:rFonts w:hint="eastAsia"/>
          <w:iCs/>
          <w:color w:val="000000"/>
          <w:sz w:val="18"/>
        </w:rPr>
        <w:t xml:space="preserve"> </w:t>
      </w:r>
      <w:r w:rsidRPr="005B61FE">
        <w:rPr>
          <w:iCs/>
          <w:color w:val="000000"/>
          <w:sz w:val="18"/>
        </w:rPr>
        <w:t>S., Barth, M.</w:t>
      </w:r>
      <w:r>
        <w:rPr>
          <w:rFonts w:hint="eastAsia"/>
          <w:iCs/>
          <w:color w:val="000000"/>
          <w:sz w:val="18"/>
        </w:rPr>
        <w:t xml:space="preserve"> </w:t>
      </w:r>
      <w:r w:rsidRPr="005B61FE">
        <w:rPr>
          <w:iCs/>
          <w:color w:val="000000"/>
          <w:sz w:val="18"/>
        </w:rPr>
        <w:t>E., Jagolinzer, A. D., &amp;</w:t>
      </w:r>
      <w:r>
        <w:rPr>
          <w:rFonts w:hint="eastAsia"/>
          <w:iCs/>
          <w:color w:val="000000"/>
          <w:sz w:val="18"/>
        </w:rPr>
        <w:t xml:space="preserve"> </w:t>
      </w:r>
      <w:r>
        <w:rPr>
          <w:iCs/>
          <w:color w:val="000000"/>
          <w:sz w:val="18"/>
        </w:rPr>
        <w:t>Riedl</w:t>
      </w:r>
      <w:r>
        <w:rPr>
          <w:rFonts w:hint="eastAsia"/>
          <w:iCs/>
          <w:color w:val="000000"/>
          <w:sz w:val="18"/>
        </w:rPr>
        <w:t xml:space="preserve">, </w:t>
      </w:r>
      <w:r w:rsidRPr="005B61FE">
        <w:rPr>
          <w:iCs/>
          <w:color w:val="000000"/>
          <w:sz w:val="18"/>
        </w:rPr>
        <w:t>E.</w:t>
      </w:r>
      <w:r>
        <w:rPr>
          <w:rFonts w:hint="eastAsia"/>
          <w:iCs/>
          <w:color w:val="000000"/>
          <w:sz w:val="18"/>
        </w:rPr>
        <w:t xml:space="preserve"> </w:t>
      </w:r>
      <w:r w:rsidRPr="005B61FE">
        <w:rPr>
          <w:iCs/>
          <w:color w:val="000000"/>
          <w:sz w:val="18"/>
        </w:rPr>
        <w:t>J. (2010).</w:t>
      </w:r>
      <w:r>
        <w:rPr>
          <w:rFonts w:hint="eastAsia"/>
          <w:iCs/>
          <w:color w:val="000000"/>
          <w:sz w:val="18"/>
        </w:rPr>
        <w:t xml:space="preserve"> </w:t>
      </w:r>
      <w:r w:rsidRPr="005B61FE">
        <w:rPr>
          <w:iCs/>
          <w:color w:val="000000"/>
          <w:sz w:val="18"/>
        </w:rPr>
        <w:t>Market reaction to the adoption of</w:t>
      </w:r>
      <w:r>
        <w:rPr>
          <w:rFonts w:hint="eastAsia"/>
          <w:iCs/>
          <w:color w:val="000000"/>
          <w:sz w:val="18"/>
        </w:rPr>
        <w:t xml:space="preserve"> </w:t>
      </w:r>
      <w:r w:rsidRPr="005B61FE">
        <w:rPr>
          <w:iCs/>
          <w:color w:val="000000"/>
          <w:sz w:val="18"/>
        </w:rPr>
        <w:t>IFRS in Europe.</w:t>
      </w:r>
      <w:r>
        <w:rPr>
          <w:rFonts w:hint="eastAsia"/>
          <w:iCs/>
          <w:color w:val="000000"/>
          <w:sz w:val="18"/>
        </w:rPr>
        <w:t xml:space="preserve"> </w:t>
      </w:r>
      <w:r w:rsidRPr="005B61FE">
        <w:rPr>
          <w:i/>
          <w:iCs/>
          <w:color w:val="000000"/>
          <w:sz w:val="18"/>
        </w:rPr>
        <w:t>The Accounting Review</w:t>
      </w:r>
      <w:r w:rsidRPr="0020500F">
        <w:rPr>
          <w:rFonts w:hint="eastAsia"/>
          <w:i/>
          <w:iCs/>
          <w:color w:val="000000"/>
          <w:sz w:val="18"/>
        </w:rPr>
        <w:t xml:space="preserve">, </w:t>
      </w:r>
      <w:r w:rsidRPr="0020500F">
        <w:rPr>
          <w:i/>
          <w:iCs/>
          <w:color w:val="000000"/>
          <w:sz w:val="18"/>
        </w:rPr>
        <w:t>85</w:t>
      </w:r>
      <w:r w:rsidRPr="005B61FE">
        <w:rPr>
          <w:iCs/>
          <w:color w:val="000000"/>
          <w:sz w:val="18"/>
        </w:rPr>
        <w:t>(1)</w:t>
      </w:r>
      <w:r>
        <w:rPr>
          <w:rFonts w:hint="eastAsia"/>
          <w:iCs/>
          <w:color w:val="000000"/>
          <w:sz w:val="18"/>
        </w:rPr>
        <w:t xml:space="preserve">, </w:t>
      </w:r>
      <w:r w:rsidRPr="005B61FE">
        <w:rPr>
          <w:iCs/>
          <w:color w:val="000000"/>
          <w:sz w:val="18"/>
        </w:rPr>
        <w:t>31</w:t>
      </w:r>
      <w:r>
        <w:rPr>
          <w:rFonts w:hint="eastAsia"/>
          <w:iCs/>
          <w:color w:val="000000"/>
          <w:sz w:val="18"/>
        </w:rPr>
        <w:t>-</w:t>
      </w:r>
      <w:r w:rsidRPr="005B61FE">
        <w:rPr>
          <w:iCs/>
          <w:color w:val="000000"/>
          <w:sz w:val="18"/>
        </w:rPr>
        <w:t>61</w:t>
      </w:r>
      <w:r>
        <w:rPr>
          <w:rFonts w:hint="eastAsia"/>
          <w:iCs/>
          <w:color w:val="000000"/>
          <w:sz w:val="18"/>
        </w:rPr>
        <w:t>.</w:t>
      </w:r>
    </w:p>
    <w:p w:rsidR="00651D93" w:rsidRPr="005B61FE" w:rsidRDefault="00651D93" w:rsidP="001F0251">
      <w:pPr>
        <w:snapToGrid w:val="0"/>
        <w:spacing w:line="288" w:lineRule="auto"/>
        <w:ind w:left="360" w:hangingChars="200" w:hanging="360"/>
        <w:rPr>
          <w:iCs/>
          <w:color w:val="000000"/>
          <w:sz w:val="18"/>
        </w:rPr>
      </w:pPr>
      <w:r w:rsidRPr="005B61FE">
        <w:rPr>
          <w:iCs/>
          <w:color w:val="000000"/>
          <w:sz w:val="18"/>
        </w:rPr>
        <w:t>Bankman, J. (2004). An academic’s view of the tax shelter battle. In</w:t>
      </w:r>
      <w:r>
        <w:rPr>
          <w:rFonts w:hint="eastAsia"/>
          <w:iCs/>
          <w:color w:val="000000"/>
          <w:sz w:val="18"/>
        </w:rPr>
        <w:t xml:space="preserve"> </w:t>
      </w:r>
      <w:r w:rsidRPr="005B61FE">
        <w:rPr>
          <w:iCs/>
          <w:color w:val="000000"/>
          <w:sz w:val="18"/>
        </w:rPr>
        <w:t>H.</w:t>
      </w:r>
      <w:r>
        <w:rPr>
          <w:rFonts w:hint="eastAsia"/>
          <w:iCs/>
          <w:color w:val="000000"/>
          <w:sz w:val="18"/>
        </w:rPr>
        <w:t xml:space="preserve"> </w:t>
      </w:r>
      <w:r w:rsidRPr="005B61FE">
        <w:rPr>
          <w:iCs/>
          <w:color w:val="000000"/>
          <w:sz w:val="18"/>
        </w:rPr>
        <w:t>J. Aaron &amp; J. Slemrod</w:t>
      </w:r>
      <w:r>
        <w:rPr>
          <w:rFonts w:hint="eastAsia"/>
          <w:iCs/>
          <w:color w:val="000000"/>
          <w:sz w:val="18"/>
        </w:rPr>
        <w:t xml:space="preserve"> </w:t>
      </w:r>
      <w:r>
        <w:rPr>
          <w:iCs/>
          <w:color w:val="000000"/>
          <w:sz w:val="18"/>
        </w:rPr>
        <w:t>(</w:t>
      </w:r>
      <w:r>
        <w:rPr>
          <w:rFonts w:hint="eastAsia"/>
          <w:iCs/>
          <w:color w:val="000000"/>
          <w:sz w:val="18"/>
        </w:rPr>
        <w:t>E</w:t>
      </w:r>
      <w:r w:rsidRPr="005B61FE">
        <w:rPr>
          <w:iCs/>
          <w:color w:val="000000"/>
          <w:sz w:val="18"/>
        </w:rPr>
        <w:t>d</w:t>
      </w:r>
      <w:r>
        <w:rPr>
          <w:rFonts w:hint="eastAsia"/>
          <w:iCs/>
          <w:color w:val="000000"/>
          <w:sz w:val="18"/>
        </w:rPr>
        <w:t>s.</w:t>
      </w:r>
      <w:r w:rsidRPr="005B61FE">
        <w:rPr>
          <w:iCs/>
          <w:color w:val="000000"/>
          <w:sz w:val="18"/>
        </w:rPr>
        <w:t>)</w:t>
      </w:r>
      <w:r>
        <w:rPr>
          <w:rFonts w:hint="eastAsia"/>
          <w:iCs/>
          <w:color w:val="000000"/>
          <w:sz w:val="18"/>
        </w:rPr>
        <w:t xml:space="preserve">, </w:t>
      </w:r>
      <w:r w:rsidRPr="005B61FE">
        <w:rPr>
          <w:i/>
          <w:iCs/>
          <w:color w:val="000000"/>
          <w:sz w:val="18"/>
        </w:rPr>
        <w:t>The crisis in tax administration</w:t>
      </w:r>
      <w:r>
        <w:rPr>
          <w:rFonts w:hint="eastAsia"/>
          <w:iCs/>
          <w:color w:val="000000"/>
          <w:sz w:val="18"/>
        </w:rPr>
        <w:t xml:space="preserve">. </w:t>
      </w:r>
      <w:r>
        <w:rPr>
          <w:iCs/>
          <w:color w:val="000000"/>
          <w:sz w:val="18"/>
        </w:rPr>
        <w:t>Washington D</w:t>
      </w:r>
      <w:r w:rsidRPr="005B61FE">
        <w:rPr>
          <w:iCs/>
          <w:color w:val="000000"/>
          <w:sz w:val="18"/>
        </w:rPr>
        <w:t>C</w:t>
      </w:r>
      <w:r>
        <w:rPr>
          <w:rFonts w:hint="eastAsia"/>
          <w:iCs/>
          <w:color w:val="000000"/>
          <w:sz w:val="18"/>
        </w:rPr>
        <w:t xml:space="preserve">: </w:t>
      </w:r>
      <w:r>
        <w:rPr>
          <w:iCs/>
          <w:color w:val="000000"/>
          <w:sz w:val="18"/>
        </w:rPr>
        <w:t>Brookings Institution</w:t>
      </w:r>
      <w:r w:rsidRPr="005B61FE">
        <w:rPr>
          <w:iCs/>
          <w:color w:val="000000"/>
          <w:sz w:val="18"/>
        </w:rPr>
        <w:t>.</w:t>
      </w:r>
    </w:p>
    <w:p w:rsidR="00651D93" w:rsidRPr="005B61FE" w:rsidRDefault="00651D93" w:rsidP="001F0251">
      <w:pPr>
        <w:snapToGrid w:val="0"/>
        <w:spacing w:line="288" w:lineRule="auto"/>
        <w:ind w:left="360" w:hangingChars="200" w:hanging="360"/>
        <w:rPr>
          <w:iCs/>
          <w:color w:val="000000"/>
          <w:sz w:val="18"/>
        </w:rPr>
      </w:pPr>
      <w:r w:rsidRPr="005B61FE">
        <w:rPr>
          <w:iCs/>
          <w:color w:val="000000"/>
          <w:sz w:val="18"/>
        </w:rPr>
        <w:t xml:space="preserve">Bushman, R., Chen, Q., Engel, E., &amp; </w:t>
      </w:r>
      <w:r>
        <w:rPr>
          <w:iCs/>
          <w:color w:val="000000"/>
          <w:sz w:val="18"/>
        </w:rPr>
        <w:t>Smith</w:t>
      </w:r>
      <w:r>
        <w:rPr>
          <w:rFonts w:hint="eastAsia"/>
          <w:iCs/>
          <w:color w:val="000000"/>
          <w:sz w:val="18"/>
        </w:rPr>
        <w:t xml:space="preserve">, </w:t>
      </w:r>
      <w:r w:rsidRPr="005B61FE">
        <w:rPr>
          <w:iCs/>
          <w:color w:val="000000"/>
          <w:sz w:val="18"/>
        </w:rPr>
        <w:t>A. (2004).</w:t>
      </w:r>
      <w:r>
        <w:rPr>
          <w:rFonts w:hint="eastAsia"/>
          <w:iCs/>
          <w:color w:val="000000"/>
          <w:sz w:val="18"/>
        </w:rPr>
        <w:t xml:space="preserve"> </w:t>
      </w:r>
      <w:r w:rsidRPr="005B61FE">
        <w:rPr>
          <w:iCs/>
          <w:color w:val="000000"/>
          <w:sz w:val="18"/>
        </w:rPr>
        <w:t>Financial accounting information, organizational complexity</w:t>
      </w:r>
      <w:r>
        <w:rPr>
          <w:rFonts w:hint="eastAsia"/>
          <w:iCs/>
          <w:color w:val="000000"/>
          <w:sz w:val="18"/>
        </w:rPr>
        <w:t>,</w:t>
      </w:r>
      <w:r w:rsidRPr="005B61FE">
        <w:rPr>
          <w:iCs/>
          <w:color w:val="000000"/>
          <w:sz w:val="18"/>
        </w:rPr>
        <w:t xml:space="preserve"> and corporate governance systems.</w:t>
      </w:r>
      <w:r>
        <w:rPr>
          <w:rFonts w:hint="eastAsia"/>
          <w:iCs/>
          <w:color w:val="000000"/>
          <w:sz w:val="18"/>
        </w:rPr>
        <w:t xml:space="preserve"> </w:t>
      </w:r>
      <w:r w:rsidRPr="005B61FE">
        <w:rPr>
          <w:i/>
          <w:iCs/>
          <w:color w:val="000000"/>
          <w:sz w:val="18"/>
        </w:rPr>
        <w:t>Journal of Accounting and Economi</w:t>
      </w:r>
      <w:r w:rsidRPr="0020500F">
        <w:rPr>
          <w:i/>
          <w:iCs/>
          <w:color w:val="000000"/>
          <w:sz w:val="18"/>
        </w:rPr>
        <w:t>cs</w:t>
      </w:r>
      <w:r w:rsidRPr="0020500F">
        <w:rPr>
          <w:rFonts w:hint="eastAsia"/>
          <w:i/>
          <w:iCs/>
          <w:color w:val="000000"/>
          <w:sz w:val="18"/>
        </w:rPr>
        <w:t xml:space="preserve">, </w:t>
      </w:r>
      <w:r w:rsidRPr="0020500F">
        <w:rPr>
          <w:i/>
          <w:iCs/>
          <w:color w:val="000000"/>
          <w:sz w:val="18"/>
        </w:rPr>
        <w:t>37</w:t>
      </w:r>
      <w:r w:rsidRPr="005B61FE">
        <w:rPr>
          <w:iCs/>
          <w:color w:val="000000"/>
          <w:sz w:val="18"/>
        </w:rPr>
        <w:t>(</w:t>
      </w:r>
      <w:r>
        <w:rPr>
          <w:rFonts w:hint="eastAsia"/>
          <w:iCs/>
          <w:color w:val="000000"/>
          <w:sz w:val="18"/>
        </w:rPr>
        <w:t>2</w:t>
      </w:r>
      <w:r w:rsidRPr="005B61FE">
        <w:rPr>
          <w:iCs/>
          <w:color w:val="000000"/>
          <w:sz w:val="18"/>
        </w:rPr>
        <w:t>)</w:t>
      </w:r>
      <w:r>
        <w:rPr>
          <w:rFonts w:hint="eastAsia"/>
          <w:iCs/>
          <w:color w:val="000000"/>
          <w:sz w:val="18"/>
        </w:rPr>
        <w:t xml:space="preserve">, </w:t>
      </w:r>
      <w:r w:rsidRPr="005B61FE">
        <w:rPr>
          <w:iCs/>
          <w:color w:val="000000"/>
          <w:sz w:val="18"/>
        </w:rPr>
        <w:t>167-201.</w:t>
      </w:r>
    </w:p>
    <w:p w:rsidR="00651D93" w:rsidRPr="005B61FE" w:rsidRDefault="00651D93" w:rsidP="001F0251">
      <w:pPr>
        <w:snapToGrid w:val="0"/>
        <w:spacing w:line="288" w:lineRule="auto"/>
        <w:ind w:left="360" w:hangingChars="200" w:hanging="360"/>
        <w:rPr>
          <w:iCs/>
          <w:color w:val="000000"/>
          <w:sz w:val="18"/>
        </w:rPr>
      </w:pPr>
      <w:r w:rsidRPr="005B61FE">
        <w:rPr>
          <w:iCs/>
          <w:color w:val="000000"/>
          <w:sz w:val="18"/>
        </w:rPr>
        <w:t>Campbell, K., Gordon, L. A.</w:t>
      </w:r>
      <w:r>
        <w:rPr>
          <w:rFonts w:hint="eastAsia"/>
          <w:iCs/>
          <w:color w:val="000000"/>
          <w:sz w:val="18"/>
        </w:rPr>
        <w:t xml:space="preserve">, </w:t>
      </w:r>
      <w:r w:rsidRPr="005B61FE">
        <w:rPr>
          <w:iCs/>
          <w:color w:val="000000"/>
          <w:sz w:val="18"/>
        </w:rPr>
        <w:t>Loeb,</w:t>
      </w:r>
      <w:r w:rsidRPr="0020500F">
        <w:rPr>
          <w:iCs/>
          <w:color w:val="000000"/>
          <w:sz w:val="18"/>
        </w:rPr>
        <w:t xml:space="preserve"> </w:t>
      </w:r>
      <w:r>
        <w:rPr>
          <w:iCs/>
          <w:color w:val="000000"/>
          <w:sz w:val="18"/>
        </w:rPr>
        <w:t>M. P.</w:t>
      </w:r>
      <w:r>
        <w:rPr>
          <w:rFonts w:hint="eastAsia"/>
          <w:iCs/>
          <w:color w:val="000000"/>
          <w:sz w:val="18"/>
        </w:rPr>
        <w:t>,</w:t>
      </w:r>
      <w:r w:rsidRPr="005B61FE">
        <w:rPr>
          <w:iCs/>
          <w:color w:val="000000"/>
          <w:sz w:val="18"/>
        </w:rPr>
        <w:t xml:space="preserve"> &amp; </w:t>
      </w:r>
      <w:r>
        <w:rPr>
          <w:iCs/>
          <w:color w:val="000000"/>
          <w:sz w:val="18"/>
        </w:rPr>
        <w:t>Zhou</w:t>
      </w:r>
      <w:r>
        <w:rPr>
          <w:rFonts w:hint="eastAsia"/>
          <w:iCs/>
          <w:color w:val="000000"/>
          <w:sz w:val="18"/>
        </w:rPr>
        <w:t xml:space="preserve">, </w:t>
      </w:r>
      <w:r w:rsidRPr="005B61FE">
        <w:rPr>
          <w:iCs/>
          <w:color w:val="000000"/>
          <w:sz w:val="18"/>
        </w:rPr>
        <w:t>L. (2003).</w:t>
      </w:r>
      <w:r>
        <w:rPr>
          <w:rFonts w:hint="eastAsia"/>
          <w:iCs/>
          <w:color w:val="000000"/>
          <w:sz w:val="18"/>
        </w:rPr>
        <w:t xml:space="preserve"> </w:t>
      </w:r>
      <w:r w:rsidRPr="005B61FE">
        <w:rPr>
          <w:iCs/>
          <w:color w:val="000000"/>
          <w:sz w:val="18"/>
        </w:rPr>
        <w:t>The economic cost of publicly announced information security breaches: Empirical evidence from the stock market</w:t>
      </w:r>
      <w:r>
        <w:rPr>
          <w:rFonts w:hint="eastAsia"/>
          <w:iCs/>
          <w:color w:val="000000"/>
          <w:sz w:val="18"/>
        </w:rPr>
        <w:t>.</w:t>
      </w:r>
      <w:r w:rsidRPr="005B61FE">
        <w:rPr>
          <w:i/>
          <w:iCs/>
          <w:color w:val="000000"/>
          <w:sz w:val="18"/>
        </w:rPr>
        <w:t xml:space="preserve"> Journal of Computer Securit</w:t>
      </w:r>
      <w:r w:rsidRPr="00022F93">
        <w:rPr>
          <w:i/>
          <w:iCs/>
          <w:color w:val="000000"/>
          <w:sz w:val="18"/>
        </w:rPr>
        <w:t>y, 11</w:t>
      </w:r>
      <w:r>
        <w:rPr>
          <w:rFonts w:hint="eastAsia"/>
          <w:iCs/>
          <w:color w:val="000000"/>
          <w:sz w:val="18"/>
        </w:rPr>
        <w:t xml:space="preserve">(3), </w:t>
      </w:r>
      <w:r w:rsidRPr="005B61FE">
        <w:rPr>
          <w:iCs/>
          <w:color w:val="000000"/>
          <w:sz w:val="18"/>
        </w:rPr>
        <w:t>431-448.</w:t>
      </w:r>
    </w:p>
    <w:p w:rsidR="00651D93" w:rsidRPr="005B61FE" w:rsidRDefault="00651D93" w:rsidP="001F0251">
      <w:pPr>
        <w:snapToGrid w:val="0"/>
        <w:spacing w:line="288" w:lineRule="auto"/>
        <w:ind w:left="360" w:hangingChars="200" w:hanging="360"/>
        <w:rPr>
          <w:iCs/>
          <w:color w:val="000000"/>
          <w:sz w:val="18"/>
        </w:rPr>
      </w:pPr>
      <w:r w:rsidRPr="005B61FE">
        <w:rPr>
          <w:iCs/>
          <w:color w:val="000000"/>
          <w:sz w:val="18"/>
        </w:rPr>
        <w:t>Cavusoglu, H., Mishra, B.</w:t>
      </w:r>
      <w:r>
        <w:rPr>
          <w:rFonts w:hint="eastAsia"/>
          <w:iCs/>
          <w:color w:val="000000"/>
          <w:sz w:val="18"/>
        </w:rPr>
        <w:t xml:space="preserve">, </w:t>
      </w:r>
      <w:r w:rsidRPr="005B61FE">
        <w:rPr>
          <w:iCs/>
          <w:color w:val="000000"/>
          <w:sz w:val="18"/>
        </w:rPr>
        <w:t>&amp; Raghunathan</w:t>
      </w:r>
      <w:r>
        <w:rPr>
          <w:rFonts w:hint="eastAsia"/>
          <w:iCs/>
          <w:color w:val="000000"/>
          <w:sz w:val="18"/>
        </w:rPr>
        <w:t xml:space="preserve">, </w:t>
      </w:r>
      <w:r w:rsidRPr="005B61FE">
        <w:rPr>
          <w:iCs/>
          <w:color w:val="000000"/>
          <w:sz w:val="18"/>
        </w:rPr>
        <w:t>S. (2004).</w:t>
      </w:r>
      <w:r>
        <w:rPr>
          <w:rFonts w:hint="eastAsia"/>
          <w:iCs/>
          <w:color w:val="000000"/>
          <w:sz w:val="18"/>
        </w:rPr>
        <w:t xml:space="preserve"> </w:t>
      </w:r>
      <w:r w:rsidRPr="005B61FE">
        <w:rPr>
          <w:iCs/>
          <w:color w:val="000000"/>
          <w:sz w:val="18"/>
        </w:rPr>
        <w:t>The effect of internet security breach announcements on market value:</w:t>
      </w:r>
      <w:r>
        <w:rPr>
          <w:rFonts w:hint="eastAsia"/>
          <w:iCs/>
          <w:color w:val="000000"/>
          <w:sz w:val="18"/>
        </w:rPr>
        <w:t xml:space="preserve"> </w:t>
      </w:r>
      <w:r w:rsidRPr="005B61FE">
        <w:rPr>
          <w:iCs/>
          <w:color w:val="000000"/>
          <w:sz w:val="18"/>
        </w:rPr>
        <w:t>Capital market reactions for breached firms and internet security developers.</w:t>
      </w:r>
      <w:r>
        <w:rPr>
          <w:rFonts w:hint="eastAsia"/>
          <w:iCs/>
          <w:color w:val="000000"/>
          <w:sz w:val="18"/>
        </w:rPr>
        <w:t xml:space="preserve"> </w:t>
      </w:r>
      <w:r w:rsidRPr="005B61FE">
        <w:rPr>
          <w:i/>
          <w:iCs/>
          <w:color w:val="000000"/>
          <w:sz w:val="18"/>
        </w:rPr>
        <w:t>International Journal of Electronic Commerce</w:t>
      </w:r>
      <w:r>
        <w:rPr>
          <w:rFonts w:hint="eastAsia"/>
          <w:i/>
          <w:iCs/>
          <w:color w:val="000000"/>
          <w:sz w:val="18"/>
        </w:rPr>
        <w:t>,</w:t>
      </w:r>
      <w:r w:rsidRPr="005B61FE">
        <w:rPr>
          <w:iCs/>
          <w:color w:val="000000"/>
          <w:sz w:val="18"/>
        </w:rPr>
        <w:t xml:space="preserve"> </w:t>
      </w:r>
      <w:r w:rsidRPr="00022F93">
        <w:rPr>
          <w:i/>
          <w:iCs/>
          <w:color w:val="000000"/>
          <w:sz w:val="18"/>
        </w:rPr>
        <w:t>9</w:t>
      </w:r>
      <w:r w:rsidRPr="005B61FE">
        <w:rPr>
          <w:iCs/>
          <w:color w:val="000000"/>
          <w:sz w:val="18"/>
        </w:rPr>
        <w:t>(1)</w:t>
      </w:r>
      <w:r>
        <w:rPr>
          <w:rFonts w:hint="eastAsia"/>
          <w:iCs/>
          <w:color w:val="000000"/>
          <w:sz w:val="18"/>
        </w:rPr>
        <w:t xml:space="preserve">, </w:t>
      </w:r>
      <w:r w:rsidRPr="005B61FE">
        <w:rPr>
          <w:iCs/>
          <w:color w:val="000000"/>
          <w:sz w:val="18"/>
        </w:rPr>
        <w:t>69-104.</w:t>
      </w:r>
    </w:p>
    <w:p w:rsidR="00651D93" w:rsidRPr="005B61FE" w:rsidRDefault="00651D93" w:rsidP="001F0251">
      <w:pPr>
        <w:snapToGrid w:val="0"/>
        <w:spacing w:line="288" w:lineRule="auto"/>
        <w:ind w:left="360" w:hangingChars="200" w:hanging="360"/>
        <w:rPr>
          <w:iCs/>
          <w:color w:val="000000"/>
          <w:sz w:val="18"/>
        </w:rPr>
      </w:pPr>
      <w:r w:rsidRPr="005B61FE">
        <w:rPr>
          <w:iCs/>
          <w:color w:val="000000"/>
          <w:sz w:val="18"/>
        </w:rPr>
        <w:t>Chen, S., Chen, X.</w:t>
      </w:r>
      <w:r>
        <w:rPr>
          <w:rFonts w:hint="eastAsia"/>
          <w:iCs/>
          <w:color w:val="000000"/>
          <w:sz w:val="18"/>
        </w:rPr>
        <w:t xml:space="preserve">, </w:t>
      </w:r>
      <w:r w:rsidRPr="005B61FE">
        <w:rPr>
          <w:iCs/>
          <w:color w:val="000000"/>
          <w:sz w:val="18"/>
        </w:rPr>
        <w:t>Cheng,</w:t>
      </w:r>
      <w:r>
        <w:rPr>
          <w:rFonts w:hint="eastAsia"/>
          <w:iCs/>
          <w:color w:val="000000"/>
          <w:sz w:val="18"/>
        </w:rPr>
        <w:t xml:space="preserve"> </w:t>
      </w:r>
      <w:r w:rsidRPr="005B61FE">
        <w:rPr>
          <w:iCs/>
          <w:color w:val="000000"/>
          <w:sz w:val="18"/>
        </w:rPr>
        <w:t>Q.</w:t>
      </w:r>
      <w:r>
        <w:rPr>
          <w:rFonts w:hint="eastAsia"/>
          <w:iCs/>
          <w:color w:val="000000"/>
          <w:sz w:val="18"/>
        </w:rPr>
        <w:t xml:space="preserve">, </w:t>
      </w:r>
      <w:r w:rsidRPr="005B61FE">
        <w:rPr>
          <w:iCs/>
          <w:color w:val="000000"/>
          <w:sz w:val="18"/>
        </w:rPr>
        <w:t>&amp;</w:t>
      </w:r>
      <w:r>
        <w:rPr>
          <w:rFonts w:hint="eastAsia"/>
          <w:iCs/>
          <w:color w:val="000000"/>
          <w:sz w:val="18"/>
        </w:rPr>
        <w:t xml:space="preserve"> </w:t>
      </w:r>
      <w:r w:rsidRPr="005B61FE">
        <w:rPr>
          <w:iCs/>
          <w:color w:val="000000"/>
          <w:sz w:val="18"/>
        </w:rPr>
        <w:t>Shevlin</w:t>
      </w:r>
      <w:r>
        <w:rPr>
          <w:rFonts w:hint="eastAsia"/>
          <w:iCs/>
          <w:color w:val="000000"/>
          <w:sz w:val="18"/>
        </w:rPr>
        <w:t xml:space="preserve">, </w:t>
      </w:r>
      <w:r>
        <w:rPr>
          <w:iCs/>
          <w:color w:val="000000"/>
          <w:sz w:val="18"/>
        </w:rPr>
        <w:t>T</w:t>
      </w:r>
      <w:r w:rsidRPr="005B61FE">
        <w:rPr>
          <w:iCs/>
          <w:color w:val="000000"/>
          <w:sz w:val="18"/>
        </w:rPr>
        <w:t>.</w:t>
      </w:r>
      <w:r>
        <w:rPr>
          <w:rFonts w:hint="eastAsia"/>
          <w:iCs/>
          <w:color w:val="000000"/>
          <w:sz w:val="18"/>
        </w:rPr>
        <w:t xml:space="preserve"> </w:t>
      </w:r>
      <w:r w:rsidRPr="005B61FE">
        <w:rPr>
          <w:iCs/>
          <w:color w:val="000000"/>
          <w:sz w:val="18"/>
        </w:rPr>
        <w:t>(2010).</w:t>
      </w:r>
      <w:r>
        <w:rPr>
          <w:rFonts w:hint="eastAsia"/>
          <w:iCs/>
          <w:color w:val="000000"/>
          <w:sz w:val="18"/>
        </w:rPr>
        <w:t xml:space="preserve"> </w:t>
      </w:r>
      <w:r w:rsidRPr="005B61FE">
        <w:rPr>
          <w:iCs/>
          <w:color w:val="000000"/>
          <w:sz w:val="18"/>
        </w:rPr>
        <w:t xml:space="preserve">Are family firms more tax aggressive than non-family firms? </w:t>
      </w:r>
      <w:r w:rsidRPr="005B61FE">
        <w:rPr>
          <w:i/>
          <w:iCs/>
          <w:color w:val="000000"/>
          <w:sz w:val="18"/>
        </w:rPr>
        <w:t>Journal of Financial Economi</w:t>
      </w:r>
      <w:r w:rsidRPr="0049759C">
        <w:rPr>
          <w:i/>
          <w:iCs/>
          <w:color w:val="000000"/>
          <w:sz w:val="18"/>
        </w:rPr>
        <w:t>cs</w:t>
      </w:r>
      <w:r w:rsidRPr="0049759C">
        <w:rPr>
          <w:rFonts w:hint="eastAsia"/>
          <w:i/>
          <w:iCs/>
          <w:color w:val="000000"/>
          <w:sz w:val="18"/>
        </w:rPr>
        <w:t>,</w:t>
      </w:r>
      <w:r w:rsidRPr="0049759C">
        <w:rPr>
          <w:i/>
          <w:iCs/>
          <w:color w:val="000000"/>
          <w:sz w:val="18"/>
        </w:rPr>
        <w:t xml:space="preserve"> 95</w:t>
      </w:r>
      <w:r w:rsidRPr="005B61FE">
        <w:rPr>
          <w:iCs/>
          <w:color w:val="000000"/>
          <w:sz w:val="18"/>
        </w:rPr>
        <w:t>(1)</w:t>
      </w:r>
      <w:r>
        <w:rPr>
          <w:rFonts w:hint="eastAsia"/>
          <w:iCs/>
          <w:color w:val="000000"/>
          <w:sz w:val="18"/>
        </w:rPr>
        <w:t xml:space="preserve">, </w:t>
      </w:r>
      <w:r w:rsidRPr="005B61FE">
        <w:rPr>
          <w:iCs/>
          <w:color w:val="000000"/>
          <w:sz w:val="18"/>
        </w:rPr>
        <w:t>41-61.</w:t>
      </w:r>
    </w:p>
    <w:p w:rsidR="00651D93" w:rsidRPr="005B61FE" w:rsidRDefault="00651D93" w:rsidP="001F0251">
      <w:pPr>
        <w:snapToGrid w:val="0"/>
        <w:spacing w:line="288" w:lineRule="auto"/>
        <w:ind w:left="360" w:hangingChars="200" w:hanging="360"/>
        <w:rPr>
          <w:iCs/>
          <w:color w:val="000000"/>
          <w:sz w:val="18"/>
        </w:rPr>
      </w:pPr>
      <w:r w:rsidRPr="005B61FE">
        <w:rPr>
          <w:iCs/>
          <w:color w:val="000000"/>
          <w:sz w:val="18"/>
        </w:rPr>
        <w:t>Coles, J. L.</w:t>
      </w:r>
      <w:r>
        <w:rPr>
          <w:rFonts w:hint="eastAsia"/>
          <w:iCs/>
          <w:color w:val="000000"/>
          <w:sz w:val="18"/>
        </w:rPr>
        <w:t>,</w:t>
      </w:r>
      <w:r w:rsidRPr="005B61FE">
        <w:rPr>
          <w:iCs/>
          <w:color w:val="000000"/>
          <w:sz w:val="18"/>
        </w:rPr>
        <w:t xml:space="preserve"> </w:t>
      </w:r>
      <w:r>
        <w:rPr>
          <w:iCs/>
          <w:color w:val="000000"/>
          <w:sz w:val="18"/>
        </w:rPr>
        <w:t>Daniel</w:t>
      </w:r>
      <w:r>
        <w:rPr>
          <w:rFonts w:hint="eastAsia"/>
          <w:iCs/>
          <w:color w:val="000000"/>
          <w:sz w:val="18"/>
        </w:rPr>
        <w:t xml:space="preserve">, </w:t>
      </w:r>
      <w:r w:rsidRPr="005B61FE">
        <w:rPr>
          <w:iCs/>
          <w:color w:val="000000"/>
          <w:sz w:val="18"/>
        </w:rPr>
        <w:t>N. D.</w:t>
      </w:r>
      <w:r>
        <w:rPr>
          <w:rFonts w:hint="eastAsia"/>
          <w:iCs/>
          <w:color w:val="000000"/>
          <w:sz w:val="18"/>
        </w:rPr>
        <w:t>,</w:t>
      </w:r>
      <w:r w:rsidRPr="005B61FE">
        <w:rPr>
          <w:iCs/>
          <w:color w:val="000000"/>
          <w:sz w:val="18"/>
        </w:rPr>
        <w:t xml:space="preserve"> &amp; Naveen</w:t>
      </w:r>
      <w:r>
        <w:rPr>
          <w:rFonts w:hint="eastAsia"/>
          <w:iCs/>
          <w:color w:val="000000"/>
          <w:sz w:val="18"/>
        </w:rPr>
        <w:t xml:space="preserve">, </w:t>
      </w:r>
      <w:r>
        <w:rPr>
          <w:iCs/>
          <w:color w:val="000000"/>
          <w:sz w:val="18"/>
        </w:rPr>
        <w:t>L</w:t>
      </w:r>
      <w:r w:rsidRPr="005B61FE">
        <w:rPr>
          <w:iCs/>
          <w:color w:val="000000"/>
          <w:sz w:val="18"/>
        </w:rPr>
        <w:t>. (2006). Managerial incentives and risk-taking.</w:t>
      </w:r>
      <w:r>
        <w:rPr>
          <w:rFonts w:hint="eastAsia"/>
          <w:iCs/>
          <w:color w:val="000000"/>
          <w:sz w:val="18"/>
        </w:rPr>
        <w:t xml:space="preserve"> </w:t>
      </w:r>
      <w:r w:rsidRPr="005B61FE">
        <w:rPr>
          <w:i/>
          <w:iCs/>
          <w:color w:val="000000"/>
          <w:sz w:val="18"/>
        </w:rPr>
        <w:t>Journal of</w:t>
      </w:r>
      <w:r>
        <w:rPr>
          <w:rFonts w:hint="eastAsia"/>
          <w:i/>
          <w:iCs/>
          <w:color w:val="000000"/>
          <w:sz w:val="18"/>
        </w:rPr>
        <w:t xml:space="preserve"> </w:t>
      </w:r>
      <w:r w:rsidRPr="005B61FE">
        <w:rPr>
          <w:i/>
          <w:iCs/>
          <w:color w:val="000000"/>
          <w:sz w:val="18"/>
        </w:rPr>
        <w:t>Financial Economics</w:t>
      </w:r>
      <w:r>
        <w:rPr>
          <w:rFonts w:hint="eastAsia"/>
          <w:i/>
          <w:iCs/>
          <w:color w:val="000000"/>
          <w:sz w:val="18"/>
        </w:rPr>
        <w:t>,</w:t>
      </w:r>
      <w:r w:rsidRPr="005B61FE">
        <w:rPr>
          <w:iCs/>
          <w:color w:val="000000"/>
          <w:sz w:val="18"/>
        </w:rPr>
        <w:t xml:space="preserve"> </w:t>
      </w:r>
      <w:r w:rsidRPr="0049759C">
        <w:rPr>
          <w:i/>
          <w:iCs/>
          <w:color w:val="000000"/>
          <w:sz w:val="18"/>
        </w:rPr>
        <w:t>79</w:t>
      </w:r>
      <w:r w:rsidRPr="005B61FE">
        <w:rPr>
          <w:iCs/>
          <w:color w:val="000000"/>
          <w:sz w:val="18"/>
        </w:rPr>
        <w:t>(2)</w:t>
      </w:r>
      <w:r>
        <w:rPr>
          <w:rFonts w:hint="eastAsia"/>
          <w:iCs/>
          <w:color w:val="000000"/>
          <w:sz w:val="18"/>
        </w:rPr>
        <w:t xml:space="preserve">, </w:t>
      </w:r>
      <w:r w:rsidRPr="005B61FE">
        <w:rPr>
          <w:iCs/>
          <w:color w:val="000000"/>
          <w:sz w:val="18"/>
        </w:rPr>
        <w:t>431</w:t>
      </w:r>
      <w:r>
        <w:rPr>
          <w:rFonts w:hint="eastAsia"/>
          <w:iCs/>
          <w:color w:val="000000"/>
          <w:sz w:val="18"/>
        </w:rPr>
        <w:t>-4</w:t>
      </w:r>
      <w:r w:rsidRPr="005B61FE">
        <w:rPr>
          <w:iCs/>
          <w:color w:val="000000"/>
          <w:sz w:val="18"/>
        </w:rPr>
        <w:t>68.</w:t>
      </w:r>
    </w:p>
    <w:p w:rsidR="00651D93" w:rsidRPr="005B61FE" w:rsidRDefault="00651D93" w:rsidP="001F0251">
      <w:pPr>
        <w:snapToGrid w:val="0"/>
        <w:spacing w:line="288" w:lineRule="auto"/>
        <w:ind w:left="360" w:hangingChars="200" w:hanging="360"/>
        <w:rPr>
          <w:iCs/>
          <w:color w:val="000000"/>
          <w:sz w:val="18"/>
        </w:rPr>
      </w:pPr>
      <w:r w:rsidRPr="005B61FE">
        <w:rPr>
          <w:iCs/>
          <w:color w:val="000000"/>
          <w:sz w:val="18"/>
        </w:rPr>
        <w:t>Core, J., Holthausen, R.</w:t>
      </w:r>
      <w:r>
        <w:rPr>
          <w:rFonts w:hint="eastAsia"/>
          <w:iCs/>
          <w:color w:val="000000"/>
          <w:sz w:val="18"/>
        </w:rPr>
        <w:t xml:space="preserve"> </w:t>
      </w:r>
      <w:r w:rsidRPr="005B61FE">
        <w:rPr>
          <w:iCs/>
          <w:color w:val="000000"/>
          <w:sz w:val="18"/>
        </w:rPr>
        <w:t>W., &amp; Larcker</w:t>
      </w:r>
      <w:r>
        <w:rPr>
          <w:rFonts w:hint="eastAsia"/>
          <w:iCs/>
          <w:color w:val="000000"/>
          <w:sz w:val="18"/>
        </w:rPr>
        <w:t xml:space="preserve">, </w:t>
      </w:r>
      <w:r>
        <w:rPr>
          <w:iCs/>
          <w:color w:val="000000"/>
          <w:sz w:val="18"/>
        </w:rPr>
        <w:t>D.</w:t>
      </w:r>
      <w:r>
        <w:rPr>
          <w:rFonts w:hint="eastAsia"/>
          <w:iCs/>
          <w:color w:val="000000"/>
          <w:sz w:val="18"/>
        </w:rPr>
        <w:t xml:space="preserve"> </w:t>
      </w:r>
      <w:r>
        <w:rPr>
          <w:iCs/>
          <w:color w:val="000000"/>
          <w:sz w:val="18"/>
        </w:rPr>
        <w:t>F</w:t>
      </w:r>
      <w:r w:rsidRPr="005B61FE">
        <w:rPr>
          <w:iCs/>
          <w:color w:val="000000"/>
          <w:sz w:val="18"/>
        </w:rPr>
        <w:t>.</w:t>
      </w:r>
      <w:r>
        <w:rPr>
          <w:rFonts w:hint="eastAsia"/>
          <w:iCs/>
          <w:color w:val="000000"/>
          <w:sz w:val="18"/>
        </w:rPr>
        <w:t xml:space="preserve"> </w:t>
      </w:r>
      <w:r w:rsidRPr="005B61FE">
        <w:rPr>
          <w:iCs/>
          <w:color w:val="000000"/>
          <w:sz w:val="18"/>
        </w:rPr>
        <w:t>(1999).</w:t>
      </w:r>
      <w:r>
        <w:rPr>
          <w:rFonts w:hint="eastAsia"/>
          <w:iCs/>
          <w:color w:val="000000"/>
          <w:sz w:val="18"/>
        </w:rPr>
        <w:t xml:space="preserve"> </w:t>
      </w:r>
      <w:r w:rsidRPr="005B61FE">
        <w:rPr>
          <w:iCs/>
          <w:color w:val="000000"/>
          <w:sz w:val="18"/>
        </w:rPr>
        <w:t xml:space="preserve">Corporate governance, chief executive officer compensation, and firm performance. </w:t>
      </w:r>
      <w:r w:rsidRPr="0049759C">
        <w:rPr>
          <w:i/>
          <w:iCs/>
          <w:color w:val="000000"/>
          <w:sz w:val="18"/>
        </w:rPr>
        <w:t>Journal of Financial Economics</w:t>
      </w:r>
      <w:r w:rsidRPr="0049759C">
        <w:rPr>
          <w:rFonts w:hint="eastAsia"/>
          <w:i/>
          <w:iCs/>
          <w:color w:val="000000"/>
          <w:sz w:val="18"/>
        </w:rPr>
        <w:t xml:space="preserve">, </w:t>
      </w:r>
      <w:r w:rsidRPr="0049759C">
        <w:rPr>
          <w:i/>
          <w:iCs/>
          <w:color w:val="000000"/>
          <w:sz w:val="18"/>
        </w:rPr>
        <w:t>51</w:t>
      </w:r>
      <w:r w:rsidRPr="005B61FE">
        <w:rPr>
          <w:iCs/>
          <w:color w:val="000000"/>
          <w:sz w:val="18"/>
        </w:rPr>
        <w:t>(3)</w:t>
      </w:r>
      <w:r>
        <w:rPr>
          <w:rFonts w:hint="eastAsia"/>
          <w:iCs/>
          <w:color w:val="000000"/>
          <w:sz w:val="18"/>
        </w:rPr>
        <w:t xml:space="preserve">, </w:t>
      </w:r>
      <w:r w:rsidRPr="005B61FE">
        <w:rPr>
          <w:iCs/>
          <w:color w:val="000000"/>
          <w:sz w:val="18"/>
        </w:rPr>
        <w:t>371-406.</w:t>
      </w:r>
    </w:p>
    <w:p w:rsidR="00651D93" w:rsidRPr="005B61FE" w:rsidRDefault="00CF5F25" w:rsidP="001F0251">
      <w:pPr>
        <w:snapToGrid w:val="0"/>
        <w:spacing w:line="288" w:lineRule="auto"/>
        <w:ind w:left="360" w:hangingChars="200" w:hanging="360"/>
        <w:rPr>
          <w:color w:val="000000"/>
          <w:sz w:val="18"/>
        </w:rPr>
      </w:pPr>
      <w:r w:rsidRPr="005B61FE">
        <w:rPr>
          <w:iCs/>
          <w:color w:val="000000"/>
          <w:sz w:val="18"/>
        </w:rPr>
        <w:fldChar w:fldCharType="begin"/>
      </w:r>
      <w:r w:rsidR="00651D93" w:rsidRPr="005B61FE">
        <w:rPr>
          <w:iCs/>
          <w:color w:val="000000"/>
          <w:sz w:val="18"/>
        </w:rPr>
        <w:instrText xml:space="preserve"> ADDIN EN.CITE &lt;EndNote&gt;&lt;Cite&gt;&lt;RecNum&gt;1&lt;/RecNum&gt;&lt;record&gt;&lt;rec-number&gt;1&lt;/rec-number&gt;&lt;foreign-keys&gt;&lt;key app="EN" db-id="etrw0waahttsz0eaeaypdxpdr2wppxpstx00" timestamp="1384744923"&gt;1&lt;/key&gt;&lt;key app="ENWeb" db-id=""&gt;0&lt;/key&gt;&lt;/foreign-keys&gt;&lt;ref-type name="Journal Article"&gt;17&lt;/ref-type&gt;&lt;contributors&gt;&lt;/contributors&gt;&lt;titles&gt;&lt;title&gt;&amp;lt;399C  Hand syllabus Fall 2005  20040821-2.pdf&amp;gt;&lt;/title&gt;&lt;/titles&gt;&lt;dates&gt;&lt;/dates&gt;&lt;urls&gt;&lt;/urls&gt;&lt;/record&gt;&lt;/Cite&gt;&lt;Cite AuthorYear="1"&gt;&lt;RecNum&gt;277&lt;/RecNum&gt;&lt;record&gt;&lt;rec-number&gt;277&lt;/rec-number&gt;&lt;foreign-keys&gt;&lt;key app="EN" db-id="etrw0waahttsz0eaeaypdxpdr2wppxpstx00" timestamp="1384745706"&gt;277&lt;/key&gt;&lt;key app="ENWeb" db-id=""&gt;0&lt;/key&gt;&lt;/foreign-keys&gt;&lt;ref-type name="Journal Article"&gt;17&lt;/ref-type&gt;&lt;contributors&gt;&lt;/contributors&gt;&lt;titles&gt;&lt;title&gt;&amp;lt;Croyd_Mills_Weaver[2003].pdf&amp;gt;&lt;/title&gt;&lt;/titles&gt;&lt;dates&gt;&lt;/dates&gt;&lt;urls&gt;&lt;/urls&gt;&lt;/record&gt;&lt;/Cite&gt;&lt;/EndNote&gt;</w:instrText>
      </w:r>
      <w:r w:rsidRPr="005B61FE">
        <w:rPr>
          <w:iCs/>
          <w:color w:val="000000"/>
          <w:sz w:val="18"/>
        </w:rPr>
        <w:fldChar w:fldCharType="end"/>
      </w:r>
      <w:r w:rsidR="00651D93" w:rsidRPr="005B61FE">
        <w:rPr>
          <w:color w:val="000000"/>
          <w:sz w:val="18"/>
        </w:rPr>
        <w:t>Croyd, C.</w:t>
      </w:r>
      <w:r w:rsidR="00651D93">
        <w:rPr>
          <w:rFonts w:hint="eastAsia"/>
          <w:color w:val="000000"/>
          <w:sz w:val="18"/>
        </w:rPr>
        <w:t xml:space="preserve"> </w:t>
      </w:r>
      <w:r w:rsidR="00651D93" w:rsidRPr="005B61FE">
        <w:rPr>
          <w:color w:val="000000"/>
          <w:sz w:val="18"/>
        </w:rPr>
        <w:t>B.,</w:t>
      </w:r>
      <w:r w:rsidR="00651D93">
        <w:rPr>
          <w:rFonts w:hint="eastAsia"/>
          <w:color w:val="000000"/>
          <w:sz w:val="18"/>
        </w:rPr>
        <w:t xml:space="preserve"> </w:t>
      </w:r>
      <w:r w:rsidR="00651D93" w:rsidRPr="005B61FE">
        <w:rPr>
          <w:color w:val="000000"/>
          <w:sz w:val="18"/>
        </w:rPr>
        <w:t>Mills, L.</w:t>
      </w:r>
      <w:r w:rsidR="00651D93">
        <w:rPr>
          <w:rFonts w:hint="eastAsia"/>
          <w:color w:val="000000"/>
          <w:sz w:val="18"/>
        </w:rPr>
        <w:t>,</w:t>
      </w:r>
      <w:r w:rsidR="00651D93" w:rsidRPr="005B61FE">
        <w:rPr>
          <w:color w:val="000000"/>
          <w:sz w:val="18"/>
        </w:rPr>
        <w:t xml:space="preserve"> &amp; </w:t>
      </w:r>
      <w:r w:rsidR="00651D93">
        <w:rPr>
          <w:color w:val="000000"/>
          <w:sz w:val="18"/>
        </w:rPr>
        <w:t>Weaver</w:t>
      </w:r>
      <w:r w:rsidR="00651D93">
        <w:rPr>
          <w:rFonts w:hint="eastAsia"/>
          <w:color w:val="000000"/>
          <w:sz w:val="18"/>
        </w:rPr>
        <w:t xml:space="preserve">, </w:t>
      </w:r>
      <w:r w:rsidR="00651D93" w:rsidRPr="005B61FE">
        <w:rPr>
          <w:color w:val="000000"/>
          <w:sz w:val="18"/>
        </w:rPr>
        <w:t>C.</w:t>
      </w:r>
      <w:r w:rsidR="00651D93">
        <w:rPr>
          <w:rFonts w:hint="eastAsia"/>
          <w:color w:val="000000"/>
          <w:sz w:val="18"/>
        </w:rPr>
        <w:t xml:space="preserve"> </w:t>
      </w:r>
      <w:r w:rsidR="00651D93" w:rsidRPr="005B61FE">
        <w:rPr>
          <w:color w:val="000000"/>
          <w:sz w:val="18"/>
        </w:rPr>
        <w:t>D. (2003). Firm valuation effects of the expatriation of U.S. corporations to tax-haven countries.</w:t>
      </w:r>
      <w:r w:rsidR="00651D93">
        <w:rPr>
          <w:rFonts w:hint="eastAsia"/>
          <w:color w:val="000000"/>
          <w:sz w:val="18"/>
        </w:rPr>
        <w:t xml:space="preserve"> </w:t>
      </w:r>
      <w:r w:rsidR="00651D93" w:rsidRPr="005B61FE">
        <w:rPr>
          <w:i/>
          <w:color w:val="000000"/>
          <w:sz w:val="18"/>
        </w:rPr>
        <w:t>Journal of American Taxation Associati</w:t>
      </w:r>
      <w:r w:rsidR="00651D93" w:rsidRPr="0049759C">
        <w:rPr>
          <w:i/>
          <w:color w:val="000000"/>
          <w:sz w:val="18"/>
        </w:rPr>
        <w:t>on</w:t>
      </w:r>
      <w:r w:rsidR="00651D93" w:rsidRPr="0049759C">
        <w:rPr>
          <w:rFonts w:hint="eastAsia"/>
          <w:i/>
          <w:color w:val="000000"/>
          <w:sz w:val="18"/>
        </w:rPr>
        <w:t xml:space="preserve">, </w:t>
      </w:r>
      <w:r w:rsidR="00651D93" w:rsidRPr="0049759C">
        <w:rPr>
          <w:i/>
          <w:color w:val="000000"/>
          <w:sz w:val="18"/>
        </w:rPr>
        <w:t>25</w:t>
      </w:r>
      <w:r w:rsidR="00651D93">
        <w:rPr>
          <w:rFonts w:hint="eastAsia"/>
          <w:color w:val="000000"/>
          <w:sz w:val="18"/>
        </w:rPr>
        <w:t xml:space="preserve">, </w:t>
      </w:r>
      <w:r w:rsidR="00651D93" w:rsidRPr="005B61FE">
        <w:rPr>
          <w:color w:val="000000"/>
          <w:sz w:val="18"/>
        </w:rPr>
        <w:t>87-109</w:t>
      </w:r>
      <w:r w:rsidR="00EB2222">
        <w:rPr>
          <w:rFonts w:hint="eastAsia"/>
          <w:color w:val="000000"/>
          <w:sz w:val="18"/>
        </w:rPr>
        <w:t>.</w:t>
      </w:r>
    </w:p>
    <w:p w:rsidR="00651D93" w:rsidRPr="005B61FE" w:rsidRDefault="00651D93" w:rsidP="001F0251">
      <w:pPr>
        <w:snapToGrid w:val="0"/>
        <w:spacing w:line="288" w:lineRule="auto"/>
        <w:ind w:left="360" w:hangingChars="200" w:hanging="360"/>
        <w:rPr>
          <w:iCs/>
          <w:color w:val="000000"/>
          <w:sz w:val="18"/>
        </w:rPr>
      </w:pPr>
      <w:r w:rsidRPr="005B61FE">
        <w:rPr>
          <w:iCs/>
          <w:color w:val="000000"/>
          <w:sz w:val="18"/>
        </w:rPr>
        <w:t>Desai, M.</w:t>
      </w:r>
      <w:r>
        <w:rPr>
          <w:rFonts w:hint="eastAsia"/>
          <w:iCs/>
          <w:color w:val="000000"/>
          <w:sz w:val="18"/>
        </w:rPr>
        <w:t xml:space="preserve"> </w:t>
      </w:r>
      <w:r w:rsidRPr="005B61FE">
        <w:rPr>
          <w:iCs/>
          <w:color w:val="000000"/>
          <w:sz w:val="18"/>
        </w:rPr>
        <w:t>A.</w:t>
      </w:r>
      <w:r>
        <w:rPr>
          <w:rFonts w:hint="eastAsia"/>
          <w:iCs/>
          <w:color w:val="000000"/>
          <w:sz w:val="18"/>
        </w:rPr>
        <w:t>,</w:t>
      </w:r>
      <w:r>
        <w:rPr>
          <w:iCs/>
          <w:color w:val="000000"/>
          <w:sz w:val="18"/>
        </w:rPr>
        <w:t xml:space="preserve"> &amp; </w:t>
      </w:r>
      <w:r w:rsidRPr="005B61FE">
        <w:rPr>
          <w:iCs/>
          <w:color w:val="000000"/>
          <w:sz w:val="18"/>
        </w:rPr>
        <w:t>Dharmapala</w:t>
      </w:r>
      <w:r>
        <w:rPr>
          <w:rFonts w:hint="eastAsia"/>
          <w:iCs/>
          <w:color w:val="000000"/>
          <w:sz w:val="18"/>
        </w:rPr>
        <w:t xml:space="preserve">, D. </w:t>
      </w:r>
      <w:r w:rsidRPr="005B61FE">
        <w:rPr>
          <w:iCs/>
          <w:color w:val="000000"/>
          <w:sz w:val="18"/>
        </w:rPr>
        <w:t>(2006).</w:t>
      </w:r>
      <w:r>
        <w:rPr>
          <w:rFonts w:hint="eastAsia"/>
          <w:iCs/>
          <w:color w:val="000000"/>
          <w:sz w:val="18"/>
        </w:rPr>
        <w:t xml:space="preserve"> </w:t>
      </w:r>
      <w:bookmarkStart w:id="10" w:name="OLE_LINK6"/>
      <w:bookmarkStart w:id="11" w:name="OLE_LINK7"/>
      <w:r w:rsidRPr="005B61FE">
        <w:rPr>
          <w:iCs/>
          <w:color w:val="000000"/>
          <w:sz w:val="18"/>
        </w:rPr>
        <w:t>Corporate</w:t>
      </w:r>
      <w:r>
        <w:rPr>
          <w:iCs/>
          <w:color w:val="000000"/>
          <w:sz w:val="18"/>
        </w:rPr>
        <w:t xml:space="preserve"> tax avoidance and high</w:t>
      </w:r>
      <w:r>
        <w:rPr>
          <w:rFonts w:hint="eastAsia"/>
          <w:iCs/>
          <w:color w:val="000000"/>
          <w:sz w:val="18"/>
        </w:rPr>
        <w:t xml:space="preserve"> </w:t>
      </w:r>
      <w:r w:rsidRPr="005B61FE">
        <w:rPr>
          <w:iCs/>
          <w:color w:val="000000"/>
          <w:sz w:val="18"/>
        </w:rPr>
        <w:t>powered incentives</w:t>
      </w:r>
      <w:bookmarkEnd w:id="10"/>
      <w:bookmarkEnd w:id="11"/>
      <w:r w:rsidRPr="005B61FE">
        <w:rPr>
          <w:iCs/>
          <w:color w:val="000000"/>
          <w:sz w:val="18"/>
        </w:rPr>
        <w:t>.</w:t>
      </w:r>
      <w:r>
        <w:rPr>
          <w:rFonts w:hint="eastAsia"/>
          <w:iCs/>
          <w:color w:val="000000"/>
          <w:sz w:val="18"/>
        </w:rPr>
        <w:t xml:space="preserve"> </w:t>
      </w:r>
      <w:r w:rsidRPr="005B61FE">
        <w:rPr>
          <w:i/>
          <w:iCs/>
          <w:color w:val="000000"/>
          <w:sz w:val="18"/>
        </w:rPr>
        <w:t xml:space="preserve">Journal of Financial </w:t>
      </w:r>
      <w:r w:rsidRPr="0049759C">
        <w:rPr>
          <w:i/>
          <w:iCs/>
          <w:color w:val="000000"/>
          <w:sz w:val="18"/>
        </w:rPr>
        <w:t>Economics</w:t>
      </w:r>
      <w:r w:rsidRPr="0049759C">
        <w:rPr>
          <w:rFonts w:hint="eastAsia"/>
          <w:i/>
          <w:iCs/>
          <w:color w:val="000000"/>
          <w:sz w:val="18"/>
        </w:rPr>
        <w:t xml:space="preserve">, </w:t>
      </w:r>
      <w:r w:rsidRPr="0049759C">
        <w:rPr>
          <w:i/>
          <w:iCs/>
          <w:color w:val="000000"/>
          <w:sz w:val="18"/>
        </w:rPr>
        <w:t>79</w:t>
      </w:r>
      <w:r>
        <w:rPr>
          <w:iCs/>
          <w:color w:val="000000"/>
          <w:sz w:val="18"/>
        </w:rPr>
        <w:t>(1)</w:t>
      </w:r>
      <w:r>
        <w:rPr>
          <w:rFonts w:hint="eastAsia"/>
          <w:iCs/>
          <w:color w:val="000000"/>
          <w:sz w:val="18"/>
        </w:rPr>
        <w:t xml:space="preserve">, </w:t>
      </w:r>
      <w:r w:rsidRPr="005B61FE">
        <w:rPr>
          <w:iCs/>
          <w:color w:val="000000"/>
          <w:sz w:val="18"/>
        </w:rPr>
        <w:t>145-179.</w:t>
      </w:r>
    </w:p>
    <w:p w:rsidR="00651D93" w:rsidRPr="005B61FE" w:rsidRDefault="00651D93" w:rsidP="001F0251">
      <w:pPr>
        <w:snapToGrid w:val="0"/>
        <w:spacing w:line="288" w:lineRule="auto"/>
        <w:ind w:left="360" w:hangingChars="200" w:hanging="360"/>
        <w:rPr>
          <w:iCs/>
          <w:color w:val="000000"/>
          <w:sz w:val="18"/>
        </w:rPr>
      </w:pPr>
      <w:r w:rsidRPr="005B61FE">
        <w:rPr>
          <w:iCs/>
          <w:color w:val="000000"/>
          <w:sz w:val="18"/>
        </w:rPr>
        <w:t>Fama, E.</w:t>
      </w:r>
      <w:r>
        <w:rPr>
          <w:rFonts w:hint="eastAsia"/>
          <w:iCs/>
          <w:color w:val="000000"/>
          <w:sz w:val="18"/>
        </w:rPr>
        <w:t>,</w:t>
      </w:r>
      <w:r w:rsidRPr="005B61FE">
        <w:rPr>
          <w:iCs/>
          <w:color w:val="000000"/>
          <w:sz w:val="18"/>
        </w:rPr>
        <w:t xml:space="preserve"> &amp;</w:t>
      </w:r>
      <w:r>
        <w:rPr>
          <w:rFonts w:hint="eastAsia"/>
          <w:iCs/>
          <w:color w:val="000000"/>
          <w:sz w:val="18"/>
        </w:rPr>
        <w:t xml:space="preserve"> </w:t>
      </w:r>
      <w:r w:rsidRPr="005B61FE">
        <w:rPr>
          <w:iCs/>
          <w:color w:val="000000"/>
          <w:sz w:val="18"/>
        </w:rPr>
        <w:t>French</w:t>
      </w:r>
      <w:r>
        <w:rPr>
          <w:rFonts w:hint="eastAsia"/>
          <w:iCs/>
          <w:color w:val="000000"/>
          <w:sz w:val="18"/>
        </w:rPr>
        <w:t xml:space="preserve">, </w:t>
      </w:r>
      <w:r w:rsidRPr="005B61FE">
        <w:rPr>
          <w:iCs/>
          <w:color w:val="000000"/>
          <w:sz w:val="18"/>
        </w:rPr>
        <w:t>K.</w:t>
      </w:r>
      <w:r>
        <w:rPr>
          <w:rFonts w:hint="eastAsia"/>
          <w:iCs/>
          <w:color w:val="000000"/>
          <w:sz w:val="18"/>
        </w:rPr>
        <w:t xml:space="preserve"> </w:t>
      </w:r>
      <w:r w:rsidRPr="005B61FE">
        <w:rPr>
          <w:iCs/>
          <w:color w:val="000000"/>
          <w:sz w:val="18"/>
        </w:rPr>
        <w:t>R.</w:t>
      </w:r>
      <w:r>
        <w:rPr>
          <w:rFonts w:hint="eastAsia"/>
          <w:iCs/>
          <w:color w:val="000000"/>
          <w:sz w:val="18"/>
        </w:rPr>
        <w:t xml:space="preserve"> </w:t>
      </w:r>
      <w:r w:rsidRPr="005B61FE">
        <w:rPr>
          <w:iCs/>
          <w:color w:val="000000"/>
          <w:sz w:val="18"/>
        </w:rPr>
        <w:t xml:space="preserve">(1992). The cross-section of expected stock returns. </w:t>
      </w:r>
      <w:r w:rsidRPr="005B61FE">
        <w:rPr>
          <w:i/>
          <w:iCs/>
          <w:color w:val="000000"/>
          <w:sz w:val="18"/>
        </w:rPr>
        <w:t>Journal of Fina</w:t>
      </w:r>
      <w:r w:rsidRPr="00831F5B">
        <w:rPr>
          <w:i/>
          <w:iCs/>
          <w:color w:val="000000"/>
          <w:sz w:val="18"/>
        </w:rPr>
        <w:t>nce</w:t>
      </w:r>
      <w:r w:rsidRPr="00831F5B">
        <w:rPr>
          <w:rFonts w:hint="eastAsia"/>
          <w:i/>
          <w:iCs/>
          <w:color w:val="000000"/>
          <w:sz w:val="18"/>
        </w:rPr>
        <w:t xml:space="preserve">, </w:t>
      </w:r>
      <w:r w:rsidRPr="00831F5B">
        <w:rPr>
          <w:i/>
          <w:iCs/>
          <w:color w:val="000000"/>
          <w:sz w:val="18"/>
        </w:rPr>
        <w:t>47</w:t>
      </w:r>
      <w:r>
        <w:rPr>
          <w:iCs/>
          <w:color w:val="000000"/>
          <w:sz w:val="18"/>
        </w:rPr>
        <w:t>(2)</w:t>
      </w:r>
      <w:r>
        <w:rPr>
          <w:rFonts w:hint="eastAsia"/>
          <w:iCs/>
          <w:color w:val="000000"/>
          <w:sz w:val="18"/>
        </w:rPr>
        <w:t xml:space="preserve">, </w:t>
      </w:r>
      <w:r w:rsidRPr="005B61FE">
        <w:rPr>
          <w:iCs/>
          <w:color w:val="000000"/>
          <w:sz w:val="18"/>
        </w:rPr>
        <w:t>427-465.</w:t>
      </w:r>
    </w:p>
    <w:p w:rsidR="00651D93" w:rsidRPr="005B61FE" w:rsidRDefault="00651D93" w:rsidP="001F0251">
      <w:pPr>
        <w:snapToGrid w:val="0"/>
        <w:spacing w:line="288" w:lineRule="auto"/>
        <w:ind w:left="360" w:hangingChars="200" w:hanging="360"/>
        <w:rPr>
          <w:color w:val="000000"/>
          <w:sz w:val="18"/>
        </w:rPr>
      </w:pPr>
      <w:r w:rsidRPr="005B61FE">
        <w:rPr>
          <w:color w:val="000000"/>
          <w:sz w:val="18"/>
        </w:rPr>
        <w:t>Gatzlaff, K.</w:t>
      </w:r>
      <w:r>
        <w:rPr>
          <w:rFonts w:hint="eastAsia"/>
          <w:color w:val="000000"/>
          <w:sz w:val="18"/>
        </w:rPr>
        <w:t xml:space="preserve"> </w:t>
      </w:r>
      <w:r w:rsidRPr="005B61FE">
        <w:rPr>
          <w:color w:val="000000"/>
          <w:sz w:val="18"/>
        </w:rPr>
        <w:t>M.</w:t>
      </w:r>
      <w:r>
        <w:rPr>
          <w:rFonts w:hint="eastAsia"/>
          <w:color w:val="000000"/>
          <w:sz w:val="18"/>
        </w:rPr>
        <w:t>,</w:t>
      </w:r>
      <w:r w:rsidRPr="005B61FE">
        <w:rPr>
          <w:color w:val="000000"/>
          <w:sz w:val="18"/>
        </w:rPr>
        <w:t xml:space="preserve"> &amp; McCullough</w:t>
      </w:r>
      <w:r>
        <w:rPr>
          <w:rFonts w:hint="eastAsia"/>
          <w:color w:val="000000"/>
          <w:sz w:val="18"/>
        </w:rPr>
        <w:t xml:space="preserve">, </w:t>
      </w:r>
      <w:r>
        <w:rPr>
          <w:color w:val="000000"/>
          <w:sz w:val="18"/>
        </w:rPr>
        <w:t>K.</w:t>
      </w:r>
      <w:r>
        <w:rPr>
          <w:rFonts w:hint="eastAsia"/>
          <w:color w:val="000000"/>
          <w:sz w:val="18"/>
        </w:rPr>
        <w:t xml:space="preserve"> </w:t>
      </w:r>
      <w:r>
        <w:rPr>
          <w:color w:val="000000"/>
          <w:sz w:val="18"/>
        </w:rPr>
        <w:t>A</w:t>
      </w:r>
      <w:r w:rsidRPr="005B61FE">
        <w:rPr>
          <w:color w:val="000000"/>
          <w:sz w:val="18"/>
        </w:rPr>
        <w:t>.</w:t>
      </w:r>
      <w:r>
        <w:rPr>
          <w:rFonts w:hint="eastAsia"/>
          <w:color w:val="000000"/>
          <w:sz w:val="18"/>
        </w:rPr>
        <w:t xml:space="preserve"> </w:t>
      </w:r>
      <w:r w:rsidRPr="005B61FE">
        <w:rPr>
          <w:color w:val="000000"/>
          <w:sz w:val="18"/>
        </w:rPr>
        <w:t>(2010).</w:t>
      </w:r>
      <w:r>
        <w:rPr>
          <w:rFonts w:hint="eastAsia"/>
          <w:color w:val="000000"/>
          <w:sz w:val="18"/>
        </w:rPr>
        <w:t xml:space="preserve"> </w:t>
      </w:r>
      <w:r w:rsidRPr="005B61FE">
        <w:rPr>
          <w:color w:val="000000"/>
          <w:sz w:val="18"/>
        </w:rPr>
        <w:t>The effect of data breaches on shareholder wealth.</w:t>
      </w:r>
      <w:r>
        <w:rPr>
          <w:rFonts w:hint="eastAsia"/>
          <w:color w:val="000000"/>
          <w:sz w:val="18"/>
        </w:rPr>
        <w:t xml:space="preserve"> </w:t>
      </w:r>
      <w:r w:rsidRPr="005B61FE">
        <w:rPr>
          <w:i/>
          <w:color w:val="000000"/>
          <w:sz w:val="18"/>
        </w:rPr>
        <w:t>Risk Management and Insurance Revi</w:t>
      </w:r>
      <w:r w:rsidRPr="00831F5B">
        <w:rPr>
          <w:i/>
          <w:color w:val="000000"/>
          <w:sz w:val="18"/>
        </w:rPr>
        <w:t>ew</w:t>
      </w:r>
      <w:r w:rsidRPr="00831F5B">
        <w:rPr>
          <w:rFonts w:hint="eastAsia"/>
          <w:i/>
          <w:color w:val="000000"/>
          <w:sz w:val="18"/>
        </w:rPr>
        <w:t xml:space="preserve">, </w:t>
      </w:r>
      <w:r w:rsidRPr="00831F5B">
        <w:rPr>
          <w:i/>
          <w:color w:val="000000"/>
          <w:sz w:val="18"/>
        </w:rPr>
        <w:t>13</w:t>
      </w:r>
      <w:r>
        <w:rPr>
          <w:color w:val="000000"/>
          <w:sz w:val="18"/>
        </w:rPr>
        <w:t>(1)</w:t>
      </w:r>
      <w:r>
        <w:rPr>
          <w:rFonts w:hint="eastAsia"/>
          <w:color w:val="000000"/>
          <w:sz w:val="18"/>
        </w:rPr>
        <w:t xml:space="preserve">, </w:t>
      </w:r>
      <w:r w:rsidRPr="005B61FE">
        <w:rPr>
          <w:color w:val="000000"/>
          <w:sz w:val="18"/>
        </w:rPr>
        <w:t>61-83</w:t>
      </w:r>
      <w:r>
        <w:rPr>
          <w:rFonts w:hint="eastAsia"/>
          <w:color w:val="000000"/>
          <w:sz w:val="18"/>
        </w:rPr>
        <w:t>.</w:t>
      </w:r>
    </w:p>
    <w:p w:rsidR="00651D93" w:rsidRPr="005B61FE" w:rsidRDefault="00651D93" w:rsidP="001F0251">
      <w:pPr>
        <w:snapToGrid w:val="0"/>
        <w:spacing w:line="288" w:lineRule="auto"/>
        <w:ind w:left="360" w:hangingChars="200" w:hanging="360"/>
        <w:rPr>
          <w:color w:val="000000"/>
          <w:sz w:val="18"/>
        </w:rPr>
      </w:pPr>
      <w:r w:rsidRPr="005B61FE">
        <w:rPr>
          <w:color w:val="000000"/>
          <w:sz w:val="18"/>
        </w:rPr>
        <w:t>Ghosh, C., Giambona, E., Harding,</w:t>
      </w:r>
      <w:r>
        <w:rPr>
          <w:rFonts w:hint="eastAsia"/>
          <w:color w:val="000000"/>
          <w:sz w:val="18"/>
        </w:rPr>
        <w:t xml:space="preserve"> </w:t>
      </w:r>
      <w:r w:rsidRPr="005B61FE">
        <w:rPr>
          <w:color w:val="000000"/>
          <w:sz w:val="18"/>
        </w:rPr>
        <w:t>J., Sezer,</w:t>
      </w:r>
      <w:r>
        <w:rPr>
          <w:rFonts w:hint="eastAsia"/>
          <w:color w:val="000000"/>
          <w:sz w:val="18"/>
        </w:rPr>
        <w:t xml:space="preserve"> </w:t>
      </w:r>
      <w:r w:rsidRPr="005B61FE">
        <w:rPr>
          <w:color w:val="000000"/>
          <w:sz w:val="18"/>
        </w:rPr>
        <w:t>O., &amp;</w:t>
      </w:r>
      <w:r>
        <w:rPr>
          <w:rFonts w:hint="eastAsia"/>
          <w:color w:val="000000"/>
          <w:sz w:val="18"/>
        </w:rPr>
        <w:t xml:space="preserve"> </w:t>
      </w:r>
      <w:r w:rsidRPr="005B61FE">
        <w:rPr>
          <w:color w:val="000000"/>
          <w:sz w:val="18"/>
        </w:rPr>
        <w:t>Sirmans</w:t>
      </w:r>
      <w:r>
        <w:rPr>
          <w:rFonts w:hint="eastAsia"/>
          <w:color w:val="000000"/>
          <w:sz w:val="18"/>
        </w:rPr>
        <w:t xml:space="preserve">, </w:t>
      </w:r>
      <w:r>
        <w:rPr>
          <w:color w:val="000000"/>
          <w:sz w:val="18"/>
        </w:rPr>
        <w:t>C.</w:t>
      </w:r>
      <w:r>
        <w:rPr>
          <w:rFonts w:hint="eastAsia"/>
          <w:color w:val="000000"/>
          <w:sz w:val="18"/>
        </w:rPr>
        <w:t xml:space="preserve"> </w:t>
      </w:r>
      <w:r>
        <w:rPr>
          <w:color w:val="000000"/>
          <w:sz w:val="18"/>
        </w:rPr>
        <w:t>F</w:t>
      </w:r>
      <w:r w:rsidRPr="005B61FE">
        <w:rPr>
          <w:color w:val="000000"/>
          <w:sz w:val="18"/>
        </w:rPr>
        <w:t>.</w:t>
      </w:r>
      <w:r>
        <w:rPr>
          <w:rFonts w:hint="eastAsia"/>
          <w:color w:val="000000"/>
          <w:sz w:val="18"/>
        </w:rPr>
        <w:t xml:space="preserve"> </w:t>
      </w:r>
      <w:r w:rsidRPr="005B61FE">
        <w:rPr>
          <w:color w:val="000000"/>
          <w:sz w:val="18"/>
        </w:rPr>
        <w:t>(2010).</w:t>
      </w:r>
      <w:r>
        <w:rPr>
          <w:rFonts w:hint="eastAsia"/>
          <w:color w:val="000000"/>
          <w:sz w:val="18"/>
        </w:rPr>
        <w:t xml:space="preserve"> </w:t>
      </w:r>
      <w:r w:rsidRPr="005B61FE">
        <w:rPr>
          <w:color w:val="000000"/>
          <w:sz w:val="18"/>
        </w:rPr>
        <w:t>The role of managerial stock option programs in governance: Evidence from REIT stock repurchases</w:t>
      </w:r>
      <w:r>
        <w:rPr>
          <w:rFonts w:hint="eastAsia"/>
          <w:color w:val="000000"/>
          <w:sz w:val="18"/>
        </w:rPr>
        <w:t xml:space="preserve">. </w:t>
      </w:r>
      <w:r w:rsidRPr="005B61FE">
        <w:rPr>
          <w:i/>
          <w:iCs/>
          <w:color w:val="000000"/>
          <w:sz w:val="18"/>
        </w:rPr>
        <w:t>Real Estate Econom</w:t>
      </w:r>
      <w:r w:rsidRPr="00831F5B">
        <w:rPr>
          <w:i/>
          <w:iCs/>
          <w:color w:val="000000"/>
          <w:sz w:val="18"/>
        </w:rPr>
        <w:t>ics</w:t>
      </w:r>
      <w:r w:rsidRPr="00831F5B">
        <w:rPr>
          <w:i/>
          <w:color w:val="000000"/>
          <w:sz w:val="18"/>
        </w:rPr>
        <w:t>, 38</w:t>
      </w:r>
      <w:r>
        <w:rPr>
          <w:color w:val="000000"/>
          <w:sz w:val="18"/>
        </w:rPr>
        <w:t>(1)</w:t>
      </w:r>
      <w:r>
        <w:rPr>
          <w:rFonts w:hint="eastAsia"/>
          <w:color w:val="000000"/>
          <w:sz w:val="18"/>
        </w:rPr>
        <w:t xml:space="preserve">, </w:t>
      </w:r>
      <w:r w:rsidRPr="005B61FE">
        <w:rPr>
          <w:color w:val="000000"/>
          <w:sz w:val="18"/>
        </w:rPr>
        <w:t>31-55</w:t>
      </w:r>
      <w:r>
        <w:rPr>
          <w:rFonts w:hint="eastAsia"/>
          <w:color w:val="000000"/>
          <w:sz w:val="18"/>
        </w:rPr>
        <w:t>.</w:t>
      </w:r>
    </w:p>
    <w:p w:rsidR="00651D93" w:rsidRPr="00C30A0C" w:rsidRDefault="00651D93" w:rsidP="001F0251">
      <w:pPr>
        <w:snapToGrid w:val="0"/>
        <w:spacing w:line="288" w:lineRule="auto"/>
        <w:ind w:left="360" w:hangingChars="200" w:hanging="360"/>
        <w:rPr>
          <w:iCs/>
          <w:sz w:val="18"/>
        </w:rPr>
      </w:pPr>
      <w:r>
        <w:rPr>
          <w:color w:val="000000"/>
          <w:sz w:val="18"/>
        </w:rPr>
        <w:t>Graham, J.</w:t>
      </w:r>
      <w:r>
        <w:rPr>
          <w:rFonts w:hint="eastAsia"/>
          <w:color w:val="000000"/>
          <w:sz w:val="18"/>
        </w:rPr>
        <w:t>,</w:t>
      </w:r>
      <w:r>
        <w:rPr>
          <w:color w:val="000000"/>
          <w:sz w:val="18"/>
        </w:rPr>
        <w:t xml:space="preserve"> &amp;</w:t>
      </w:r>
      <w:r w:rsidRPr="001C4DD9">
        <w:rPr>
          <w:color w:val="000000"/>
          <w:sz w:val="18"/>
        </w:rPr>
        <w:t xml:space="preserve"> Tucker</w:t>
      </w:r>
      <w:r>
        <w:rPr>
          <w:rFonts w:hint="eastAsia"/>
          <w:color w:val="000000"/>
          <w:sz w:val="18"/>
        </w:rPr>
        <w:t xml:space="preserve">, </w:t>
      </w:r>
      <w:r w:rsidRPr="001C4DD9">
        <w:rPr>
          <w:color w:val="000000"/>
          <w:sz w:val="18"/>
        </w:rPr>
        <w:t>A.</w:t>
      </w:r>
      <w:r>
        <w:rPr>
          <w:color w:val="000000"/>
          <w:sz w:val="18"/>
        </w:rPr>
        <w:t xml:space="preserve"> (</w:t>
      </w:r>
      <w:r w:rsidRPr="001C4DD9">
        <w:rPr>
          <w:color w:val="000000"/>
          <w:sz w:val="18"/>
        </w:rPr>
        <w:t>2006</w:t>
      </w:r>
      <w:r>
        <w:rPr>
          <w:color w:val="000000"/>
          <w:sz w:val="18"/>
        </w:rPr>
        <w:t>)</w:t>
      </w:r>
      <w:r>
        <w:rPr>
          <w:rFonts w:hint="eastAsia"/>
          <w:color w:val="000000"/>
          <w:sz w:val="18"/>
        </w:rPr>
        <w:t>.</w:t>
      </w:r>
      <w:r w:rsidRPr="001C4DD9">
        <w:rPr>
          <w:color w:val="000000"/>
          <w:sz w:val="18"/>
        </w:rPr>
        <w:t xml:space="preserve"> Tax shelters and corporate debt policy. </w:t>
      </w:r>
      <w:r w:rsidRPr="001C4DD9">
        <w:rPr>
          <w:i/>
          <w:color w:val="000000"/>
          <w:sz w:val="18"/>
        </w:rPr>
        <w:t>Journal of Financial Economics</w:t>
      </w:r>
      <w:r>
        <w:rPr>
          <w:rFonts w:hint="eastAsia"/>
          <w:i/>
          <w:color w:val="000000"/>
          <w:sz w:val="18"/>
        </w:rPr>
        <w:t>,</w:t>
      </w:r>
      <w:r>
        <w:rPr>
          <w:color w:val="000000"/>
          <w:sz w:val="18"/>
        </w:rPr>
        <w:t xml:space="preserve"> </w:t>
      </w:r>
      <w:r w:rsidRPr="006622E8">
        <w:rPr>
          <w:i/>
          <w:color w:val="000000"/>
          <w:sz w:val="18"/>
        </w:rPr>
        <w:t>81</w:t>
      </w:r>
      <w:r>
        <w:rPr>
          <w:color w:val="000000"/>
          <w:sz w:val="18"/>
        </w:rPr>
        <w:t>(3),</w:t>
      </w:r>
      <w:r w:rsidRPr="001C4DD9">
        <w:rPr>
          <w:color w:val="000000"/>
          <w:sz w:val="18"/>
        </w:rPr>
        <w:t xml:space="preserve"> 563-594</w:t>
      </w:r>
      <w:r>
        <w:rPr>
          <w:rFonts w:hint="eastAsia"/>
          <w:color w:val="000000"/>
          <w:sz w:val="18"/>
        </w:rPr>
        <w:t>.</w:t>
      </w:r>
    </w:p>
    <w:p w:rsidR="00651D93" w:rsidRPr="005B61FE" w:rsidRDefault="00651D93" w:rsidP="001F0251">
      <w:pPr>
        <w:snapToGrid w:val="0"/>
        <w:spacing w:line="288" w:lineRule="auto"/>
        <w:ind w:left="360" w:hangingChars="200" w:hanging="360"/>
        <w:rPr>
          <w:iCs/>
          <w:color w:val="000000"/>
          <w:sz w:val="18"/>
        </w:rPr>
      </w:pPr>
      <w:r w:rsidRPr="005B61FE">
        <w:rPr>
          <w:iCs/>
          <w:color w:val="000000"/>
          <w:sz w:val="18"/>
        </w:rPr>
        <w:t>Hanlon, M.</w:t>
      </w:r>
      <w:r>
        <w:rPr>
          <w:rFonts w:hint="eastAsia"/>
          <w:iCs/>
          <w:color w:val="000000"/>
          <w:sz w:val="18"/>
        </w:rPr>
        <w:t>,</w:t>
      </w:r>
      <w:r w:rsidRPr="005B61FE">
        <w:rPr>
          <w:iCs/>
          <w:color w:val="000000"/>
          <w:sz w:val="18"/>
        </w:rPr>
        <w:t xml:space="preserve"> &amp; Slemrod</w:t>
      </w:r>
      <w:r>
        <w:rPr>
          <w:rFonts w:hint="eastAsia"/>
          <w:iCs/>
          <w:color w:val="000000"/>
          <w:sz w:val="18"/>
        </w:rPr>
        <w:t xml:space="preserve">, </w:t>
      </w:r>
      <w:r>
        <w:rPr>
          <w:iCs/>
          <w:color w:val="000000"/>
          <w:sz w:val="18"/>
        </w:rPr>
        <w:t>J</w:t>
      </w:r>
      <w:r w:rsidRPr="005B61FE">
        <w:rPr>
          <w:iCs/>
          <w:color w:val="000000"/>
          <w:sz w:val="18"/>
        </w:rPr>
        <w:t>.</w:t>
      </w:r>
      <w:r>
        <w:rPr>
          <w:rFonts w:hint="eastAsia"/>
          <w:iCs/>
          <w:color w:val="000000"/>
          <w:sz w:val="18"/>
        </w:rPr>
        <w:t xml:space="preserve"> </w:t>
      </w:r>
      <w:r w:rsidRPr="005B61FE">
        <w:rPr>
          <w:iCs/>
          <w:color w:val="000000"/>
          <w:sz w:val="18"/>
        </w:rPr>
        <w:t>(2009). What dose tax aggressiveness signal? Evidence from stock price reactions to news about tax shelter involvement.</w:t>
      </w:r>
      <w:r>
        <w:rPr>
          <w:rFonts w:hint="eastAsia"/>
          <w:iCs/>
          <w:color w:val="000000"/>
          <w:sz w:val="18"/>
        </w:rPr>
        <w:t xml:space="preserve"> </w:t>
      </w:r>
      <w:r w:rsidRPr="005B61FE">
        <w:rPr>
          <w:i/>
          <w:iCs/>
          <w:color w:val="000000"/>
          <w:sz w:val="18"/>
        </w:rPr>
        <w:t>Journal of Public Economi</w:t>
      </w:r>
      <w:r w:rsidRPr="00831F5B">
        <w:rPr>
          <w:i/>
          <w:iCs/>
          <w:color w:val="000000"/>
          <w:sz w:val="18"/>
        </w:rPr>
        <w:t>cs</w:t>
      </w:r>
      <w:r w:rsidRPr="00831F5B">
        <w:rPr>
          <w:rFonts w:hint="eastAsia"/>
          <w:i/>
          <w:iCs/>
          <w:color w:val="000000"/>
          <w:sz w:val="18"/>
        </w:rPr>
        <w:t xml:space="preserve">, </w:t>
      </w:r>
      <w:r w:rsidRPr="00831F5B">
        <w:rPr>
          <w:i/>
          <w:iCs/>
          <w:color w:val="000000"/>
          <w:sz w:val="18"/>
        </w:rPr>
        <w:t>93</w:t>
      </w:r>
      <w:r w:rsidRPr="005B61FE">
        <w:rPr>
          <w:sz w:val="18"/>
        </w:rPr>
        <w:t>(1-2)</w:t>
      </w:r>
      <w:r>
        <w:rPr>
          <w:rFonts w:hint="eastAsia"/>
          <w:iCs/>
          <w:color w:val="000000"/>
          <w:sz w:val="18"/>
        </w:rPr>
        <w:t xml:space="preserve">, </w:t>
      </w:r>
      <w:r w:rsidRPr="005B61FE">
        <w:rPr>
          <w:iCs/>
          <w:color w:val="000000"/>
          <w:sz w:val="18"/>
        </w:rPr>
        <w:t>126-141.</w:t>
      </w:r>
    </w:p>
    <w:p w:rsidR="00651D93" w:rsidRPr="005B61FE" w:rsidRDefault="00651D93" w:rsidP="001F0251">
      <w:pPr>
        <w:snapToGrid w:val="0"/>
        <w:spacing w:line="288" w:lineRule="auto"/>
        <w:ind w:left="360" w:hangingChars="200" w:hanging="360"/>
        <w:rPr>
          <w:iCs/>
          <w:color w:val="000000"/>
          <w:sz w:val="18"/>
        </w:rPr>
      </w:pPr>
      <w:r w:rsidRPr="005B61FE">
        <w:rPr>
          <w:iCs/>
          <w:color w:val="000000"/>
          <w:sz w:val="18"/>
        </w:rPr>
        <w:t>Hanlon, M., Mills, L., &amp; Slemrod</w:t>
      </w:r>
      <w:r>
        <w:rPr>
          <w:rFonts w:hint="eastAsia"/>
          <w:iCs/>
          <w:color w:val="000000"/>
          <w:sz w:val="18"/>
        </w:rPr>
        <w:t xml:space="preserve">, </w:t>
      </w:r>
      <w:r>
        <w:rPr>
          <w:iCs/>
          <w:color w:val="000000"/>
          <w:sz w:val="18"/>
        </w:rPr>
        <w:t>J</w:t>
      </w:r>
      <w:r w:rsidRPr="005B61FE">
        <w:rPr>
          <w:iCs/>
          <w:color w:val="000000"/>
          <w:sz w:val="18"/>
        </w:rPr>
        <w:t>.</w:t>
      </w:r>
      <w:r>
        <w:rPr>
          <w:rFonts w:hint="eastAsia"/>
          <w:iCs/>
          <w:color w:val="000000"/>
          <w:sz w:val="18"/>
        </w:rPr>
        <w:t xml:space="preserve"> </w:t>
      </w:r>
      <w:r w:rsidRPr="005B61FE">
        <w:rPr>
          <w:iCs/>
          <w:color w:val="000000"/>
          <w:sz w:val="18"/>
        </w:rPr>
        <w:t>(2005).</w:t>
      </w:r>
      <w:r>
        <w:rPr>
          <w:rFonts w:hint="eastAsia"/>
          <w:iCs/>
          <w:color w:val="000000"/>
          <w:sz w:val="18"/>
        </w:rPr>
        <w:t xml:space="preserve"> </w:t>
      </w:r>
      <w:r w:rsidRPr="005B61FE">
        <w:rPr>
          <w:iCs/>
          <w:color w:val="000000"/>
          <w:sz w:val="18"/>
        </w:rPr>
        <w:t>An empirical examination of corporate tax noncompl</w:t>
      </w:r>
      <w:r>
        <w:rPr>
          <w:iCs/>
          <w:color w:val="000000"/>
          <w:sz w:val="18"/>
        </w:rPr>
        <w:t>iance</w:t>
      </w:r>
      <w:r>
        <w:rPr>
          <w:rFonts w:hint="eastAsia"/>
          <w:iCs/>
          <w:color w:val="000000"/>
          <w:sz w:val="18"/>
        </w:rPr>
        <w:t xml:space="preserve">. </w:t>
      </w:r>
      <w:r w:rsidRPr="005B61FE">
        <w:rPr>
          <w:iCs/>
          <w:color w:val="000000"/>
          <w:sz w:val="18"/>
        </w:rPr>
        <w:t>Working Paper</w:t>
      </w:r>
      <w:r>
        <w:rPr>
          <w:rFonts w:hint="eastAsia"/>
          <w:iCs/>
          <w:color w:val="000000"/>
          <w:sz w:val="18"/>
        </w:rPr>
        <w:t>,</w:t>
      </w:r>
      <w:r w:rsidRPr="005B61FE">
        <w:rPr>
          <w:iCs/>
          <w:color w:val="000000"/>
          <w:sz w:val="18"/>
        </w:rPr>
        <w:t xml:space="preserve"> Sloan School of Management, Massachusetts</w:t>
      </w:r>
      <w:r>
        <w:rPr>
          <w:rFonts w:hint="eastAsia"/>
          <w:iCs/>
          <w:color w:val="000000"/>
          <w:sz w:val="18"/>
        </w:rPr>
        <w:t xml:space="preserve"> </w:t>
      </w:r>
      <w:r>
        <w:rPr>
          <w:iCs/>
          <w:color w:val="000000"/>
          <w:sz w:val="18"/>
        </w:rPr>
        <w:t>Institute of Technology</w:t>
      </w:r>
      <w:r>
        <w:rPr>
          <w:rFonts w:hint="eastAsia"/>
          <w:iCs/>
          <w:color w:val="000000"/>
          <w:sz w:val="18"/>
        </w:rPr>
        <w:t>.</w:t>
      </w:r>
      <w:r w:rsidRPr="005B61FE">
        <w:rPr>
          <w:iCs/>
          <w:color w:val="000000"/>
          <w:sz w:val="18"/>
        </w:rPr>
        <w:t xml:space="preserve"> </w:t>
      </w:r>
    </w:p>
    <w:p w:rsidR="00651D93" w:rsidRDefault="00651D93" w:rsidP="001F0251">
      <w:pPr>
        <w:snapToGrid w:val="0"/>
        <w:spacing w:line="288" w:lineRule="auto"/>
        <w:ind w:left="360" w:hangingChars="200" w:hanging="360"/>
      </w:pPr>
      <w:r>
        <w:rPr>
          <w:iCs/>
          <w:color w:val="000000"/>
          <w:sz w:val="18"/>
        </w:rPr>
        <w:lastRenderedPageBreak/>
        <w:t>Japan</w:t>
      </w:r>
      <w:r w:rsidRPr="005B61FE">
        <w:rPr>
          <w:iCs/>
          <w:color w:val="000000"/>
          <w:sz w:val="18"/>
        </w:rPr>
        <w:t xml:space="preserve"> Tax</w:t>
      </w:r>
      <w:r>
        <w:rPr>
          <w:iCs/>
          <w:color w:val="000000"/>
          <w:sz w:val="18"/>
        </w:rPr>
        <w:t>ation</w:t>
      </w:r>
      <w:r>
        <w:rPr>
          <w:rFonts w:hint="eastAsia"/>
          <w:iCs/>
          <w:color w:val="000000"/>
          <w:sz w:val="18"/>
        </w:rPr>
        <w:t xml:space="preserve"> </w:t>
      </w:r>
      <w:r w:rsidRPr="005B61FE">
        <w:rPr>
          <w:iCs/>
          <w:color w:val="000000"/>
          <w:sz w:val="18"/>
        </w:rPr>
        <w:t>Agency</w:t>
      </w:r>
      <w:r>
        <w:rPr>
          <w:iCs/>
          <w:color w:val="000000"/>
          <w:sz w:val="18"/>
        </w:rPr>
        <w:t xml:space="preserve"> </w:t>
      </w:r>
      <w:r>
        <w:rPr>
          <w:rFonts w:hint="eastAsia"/>
          <w:iCs/>
          <w:color w:val="000000"/>
          <w:sz w:val="18"/>
        </w:rPr>
        <w:t>[</w:t>
      </w:r>
      <w:r>
        <w:rPr>
          <w:iCs/>
          <w:color w:val="000000"/>
          <w:sz w:val="18"/>
        </w:rPr>
        <w:t>JTA</w:t>
      </w:r>
      <w:r>
        <w:rPr>
          <w:rFonts w:hint="eastAsia"/>
          <w:iCs/>
          <w:color w:val="000000"/>
          <w:sz w:val="18"/>
        </w:rPr>
        <w:t xml:space="preserve">]. </w:t>
      </w:r>
      <w:r w:rsidRPr="005B61FE">
        <w:rPr>
          <w:iCs/>
          <w:color w:val="000000"/>
          <w:sz w:val="18"/>
        </w:rPr>
        <w:t xml:space="preserve">(2013). </w:t>
      </w:r>
      <w:r w:rsidRPr="00A0212D">
        <w:rPr>
          <w:i/>
          <w:iCs/>
          <w:color w:val="000000"/>
          <w:sz w:val="18"/>
        </w:rPr>
        <w:t>The situation of the advance pricing agreement</w:t>
      </w:r>
      <w:r>
        <w:rPr>
          <w:rFonts w:hint="eastAsia"/>
          <w:iCs/>
          <w:color w:val="000000"/>
          <w:sz w:val="18"/>
        </w:rPr>
        <w:t>. Retrieved from</w:t>
      </w:r>
      <w:r w:rsidR="00EB2222">
        <w:rPr>
          <w:rFonts w:hint="eastAsia"/>
          <w:iCs/>
          <w:color w:val="000000"/>
          <w:sz w:val="18"/>
        </w:rPr>
        <w:t xml:space="preserve"> </w:t>
      </w:r>
      <w:hyperlink r:id="rId35" w:history="1">
        <w:r w:rsidRPr="00A0212D">
          <w:rPr>
            <w:rStyle w:val="ab"/>
            <w:color w:val="auto"/>
            <w:sz w:val="18"/>
            <w:u w:val="none"/>
          </w:rPr>
          <w:t>http://www.nta.go.jp/kohyo/press/press/2013/sogo_kyogi/pdf/01.pdf</w:t>
        </w:r>
      </w:hyperlink>
      <w:r>
        <w:rPr>
          <w:rFonts w:hint="eastAsia"/>
        </w:rPr>
        <w:t xml:space="preserve"> </w:t>
      </w:r>
      <w:r>
        <w:rPr>
          <w:iCs/>
          <w:sz w:val="18"/>
        </w:rPr>
        <w:t>(in Japanese)</w:t>
      </w:r>
    </w:p>
    <w:p w:rsidR="00651D93" w:rsidRPr="005B61FE" w:rsidRDefault="00651D93" w:rsidP="001F0251">
      <w:pPr>
        <w:snapToGrid w:val="0"/>
        <w:spacing w:line="288" w:lineRule="auto"/>
        <w:ind w:left="360" w:hangingChars="200" w:hanging="360"/>
        <w:rPr>
          <w:iCs/>
          <w:color w:val="000000"/>
          <w:sz w:val="18"/>
        </w:rPr>
      </w:pPr>
      <w:r w:rsidRPr="005B61FE">
        <w:rPr>
          <w:iCs/>
          <w:sz w:val="18"/>
        </w:rPr>
        <w:t>Kato, K.</w:t>
      </w:r>
      <w:r>
        <w:rPr>
          <w:rFonts w:hint="eastAsia"/>
          <w:iCs/>
          <w:sz w:val="18"/>
        </w:rPr>
        <w:t xml:space="preserve"> </w:t>
      </w:r>
      <w:r w:rsidRPr="005B61FE">
        <w:rPr>
          <w:iCs/>
          <w:sz w:val="18"/>
        </w:rPr>
        <w:t>(</w:t>
      </w:r>
      <w:r w:rsidRPr="005B61FE">
        <w:rPr>
          <w:iCs/>
          <w:color w:val="000000"/>
          <w:sz w:val="18"/>
        </w:rPr>
        <w:t>2011). The reaction of the capital market to the transfer pricing taxation system:</w:t>
      </w:r>
      <w:r>
        <w:rPr>
          <w:rFonts w:hint="eastAsia"/>
          <w:iCs/>
          <w:color w:val="000000"/>
          <w:sz w:val="18"/>
        </w:rPr>
        <w:t xml:space="preserve"> </w:t>
      </w:r>
      <w:r w:rsidRPr="005B61FE">
        <w:rPr>
          <w:iCs/>
          <w:color w:val="000000"/>
          <w:sz w:val="18"/>
        </w:rPr>
        <w:t>An analysis of taxation information on intangible assets.</w:t>
      </w:r>
      <w:r>
        <w:rPr>
          <w:rFonts w:hint="eastAsia"/>
          <w:iCs/>
          <w:color w:val="000000"/>
          <w:sz w:val="18"/>
        </w:rPr>
        <w:t xml:space="preserve"> </w:t>
      </w:r>
      <w:r w:rsidRPr="005B61FE">
        <w:rPr>
          <w:i/>
          <w:iCs/>
          <w:sz w:val="18"/>
        </w:rPr>
        <w:t>Studies in the Humaniti</w:t>
      </w:r>
      <w:r w:rsidRPr="00831F5B">
        <w:rPr>
          <w:i/>
          <w:iCs/>
          <w:sz w:val="18"/>
        </w:rPr>
        <w:t>es</w:t>
      </w:r>
      <w:r w:rsidRPr="00831F5B">
        <w:rPr>
          <w:rFonts w:hint="eastAsia"/>
          <w:i/>
          <w:iCs/>
          <w:sz w:val="18"/>
        </w:rPr>
        <w:t>,</w:t>
      </w:r>
      <w:r w:rsidRPr="00831F5B">
        <w:rPr>
          <w:i/>
          <w:iCs/>
          <w:color w:val="000000"/>
          <w:sz w:val="18"/>
        </w:rPr>
        <w:t xml:space="preserve"> 26</w:t>
      </w:r>
      <w:r>
        <w:rPr>
          <w:rFonts w:hint="eastAsia"/>
          <w:iCs/>
          <w:color w:val="000000"/>
          <w:sz w:val="18"/>
        </w:rPr>
        <w:t xml:space="preserve">, </w:t>
      </w:r>
      <w:r w:rsidRPr="005B61FE">
        <w:rPr>
          <w:iCs/>
          <w:color w:val="000000"/>
          <w:sz w:val="18"/>
        </w:rPr>
        <w:t>73-87</w:t>
      </w:r>
      <w:r>
        <w:rPr>
          <w:rFonts w:hint="eastAsia"/>
          <w:iCs/>
          <w:color w:val="000000"/>
          <w:sz w:val="18"/>
        </w:rPr>
        <w:t xml:space="preserve"> </w:t>
      </w:r>
      <w:r>
        <w:rPr>
          <w:iCs/>
          <w:sz w:val="18"/>
        </w:rPr>
        <w:t>(in Japanese)</w:t>
      </w:r>
      <w:r>
        <w:rPr>
          <w:rFonts w:hint="eastAsia"/>
          <w:iCs/>
          <w:color w:val="000000"/>
          <w:sz w:val="18"/>
        </w:rPr>
        <w:t>.</w:t>
      </w:r>
    </w:p>
    <w:p w:rsidR="00651D93" w:rsidRPr="005B61FE" w:rsidRDefault="00651D93" w:rsidP="001F0251">
      <w:pPr>
        <w:snapToGrid w:val="0"/>
        <w:spacing w:line="288" w:lineRule="auto"/>
        <w:ind w:left="360" w:hangingChars="200" w:hanging="360"/>
        <w:rPr>
          <w:iCs/>
          <w:color w:val="000000"/>
          <w:sz w:val="18"/>
        </w:rPr>
      </w:pPr>
      <w:r w:rsidRPr="005B61FE">
        <w:rPr>
          <w:iCs/>
          <w:color w:val="000000"/>
          <w:sz w:val="18"/>
        </w:rPr>
        <w:t>Lassila, D.</w:t>
      </w:r>
      <w:r>
        <w:rPr>
          <w:rFonts w:hint="eastAsia"/>
          <w:iCs/>
          <w:color w:val="000000"/>
          <w:sz w:val="18"/>
        </w:rPr>
        <w:t xml:space="preserve"> </w:t>
      </w:r>
      <w:r w:rsidRPr="005B61FE">
        <w:rPr>
          <w:iCs/>
          <w:color w:val="000000"/>
          <w:sz w:val="18"/>
        </w:rPr>
        <w:t>R., Omer, T.</w:t>
      </w:r>
      <w:r>
        <w:rPr>
          <w:rFonts w:hint="eastAsia"/>
          <w:iCs/>
          <w:color w:val="000000"/>
          <w:sz w:val="18"/>
        </w:rPr>
        <w:t xml:space="preserve"> </w:t>
      </w:r>
      <w:r w:rsidRPr="005B61FE">
        <w:rPr>
          <w:iCs/>
          <w:color w:val="000000"/>
          <w:sz w:val="18"/>
        </w:rPr>
        <w:t>C., Shelley, M.</w:t>
      </w:r>
      <w:r>
        <w:rPr>
          <w:rFonts w:hint="eastAsia"/>
          <w:iCs/>
          <w:color w:val="000000"/>
          <w:sz w:val="18"/>
        </w:rPr>
        <w:t xml:space="preserve"> </w:t>
      </w:r>
      <w:r w:rsidRPr="005B61FE">
        <w:rPr>
          <w:iCs/>
          <w:color w:val="000000"/>
          <w:sz w:val="18"/>
        </w:rPr>
        <w:t>K.</w:t>
      </w:r>
      <w:r>
        <w:rPr>
          <w:rFonts w:hint="eastAsia"/>
          <w:iCs/>
          <w:color w:val="000000"/>
          <w:sz w:val="18"/>
        </w:rPr>
        <w:t>,</w:t>
      </w:r>
      <w:r w:rsidRPr="005B61FE">
        <w:rPr>
          <w:iCs/>
          <w:color w:val="000000"/>
          <w:sz w:val="18"/>
        </w:rPr>
        <w:t xml:space="preserve"> &amp;</w:t>
      </w:r>
      <w:r>
        <w:rPr>
          <w:rFonts w:hint="eastAsia"/>
          <w:iCs/>
          <w:color w:val="000000"/>
          <w:sz w:val="18"/>
        </w:rPr>
        <w:t xml:space="preserve"> </w:t>
      </w:r>
      <w:r w:rsidRPr="005B61FE">
        <w:rPr>
          <w:iCs/>
          <w:color w:val="000000"/>
          <w:sz w:val="18"/>
        </w:rPr>
        <w:t>Smith</w:t>
      </w:r>
      <w:r>
        <w:rPr>
          <w:rFonts w:hint="eastAsia"/>
          <w:iCs/>
          <w:color w:val="000000"/>
          <w:sz w:val="18"/>
        </w:rPr>
        <w:t xml:space="preserve">, </w:t>
      </w:r>
      <w:r>
        <w:rPr>
          <w:iCs/>
          <w:color w:val="000000"/>
          <w:sz w:val="18"/>
        </w:rPr>
        <w:t>L.</w:t>
      </w:r>
      <w:r>
        <w:rPr>
          <w:rFonts w:hint="eastAsia"/>
          <w:iCs/>
          <w:color w:val="000000"/>
          <w:sz w:val="18"/>
        </w:rPr>
        <w:t xml:space="preserve"> </w:t>
      </w:r>
      <w:r>
        <w:rPr>
          <w:iCs/>
          <w:color w:val="000000"/>
          <w:sz w:val="18"/>
        </w:rPr>
        <w:t>M</w:t>
      </w:r>
      <w:r w:rsidRPr="005B61FE">
        <w:rPr>
          <w:iCs/>
          <w:color w:val="000000"/>
          <w:sz w:val="18"/>
        </w:rPr>
        <w:t>.</w:t>
      </w:r>
      <w:r>
        <w:rPr>
          <w:rFonts w:hint="eastAsia"/>
          <w:iCs/>
          <w:color w:val="000000"/>
          <w:sz w:val="18"/>
        </w:rPr>
        <w:t xml:space="preserve"> </w:t>
      </w:r>
      <w:r w:rsidRPr="005B61FE">
        <w:rPr>
          <w:iCs/>
          <w:color w:val="000000"/>
          <w:sz w:val="18"/>
        </w:rPr>
        <w:t>(2010).</w:t>
      </w:r>
      <w:r>
        <w:rPr>
          <w:rFonts w:hint="eastAsia"/>
          <w:iCs/>
          <w:color w:val="000000"/>
          <w:sz w:val="18"/>
        </w:rPr>
        <w:t xml:space="preserve"> </w:t>
      </w:r>
      <w:r w:rsidRPr="005B61FE">
        <w:rPr>
          <w:iCs/>
          <w:color w:val="000000"/>
          <w:sz w:val="18"/>
        </w:rPr>
        <w:t xml:space="preserve">Do complexity, governance, and auditor independence influence whether firms retain their auditors for tax services? </w:t>
      </w:r>
      <w:r w:rsidRPr="005B61FE">
        <w:rPr>
          <w:i/>
          <w:iCs/>
          <w:color w:val="000000"/>
          <w:sz w:val="18"/>
        </w:rPr>
        <w:t>Journal of the American Taxation Asso</w:t>
      </w:r>
      <w:r w:rsidRPr="00831F5B">
        <w:rPr>
          <w:i/>
          <w:iCs/>
          <w:color w:val="000000"/>
          <w:sz w:val="18"/>
        </w:rPr>
        <w:t>ciation, 32</w:t>
      </w:r>
      <w:r>
        <w:rPr>
          <w:iCs/>
          <w:color w:val="000000"/>
          <w:sz w:val="18"/>
        </w:rPr>
        <w:t>(1)</w:t>
      </w:r>
      <w:r>
        <w:rPr>
          <w:rFonts w:hint="eastAsia"/>
          <w:iCs/>
          <w:color w:val="000000"/>
          <w:sz w:val="18"/>
        </w:rPr>
        <w:t xml:space="preserve">, </w:t>
      </w:r>
      <w:r>
        <w:rPr>
          <w:iCs/>
          <w:color w:val="000000"/>
          <w:sz w:val="18"/>
        </w:rPr>
        <w:t>1-23</w:t>
      </w:r>
      <w:r>
        <w:rPr>
          <w:rFonts w:hint="eastAsia"/>
          <w:iCs/>
          <w:color w:val="000000"/>
          <w:sz w:val="18"/>
        </w:rPr>
        <w:t>.</w:t>
      </w:r>
    </w:p>
    <w:p w:rsidR="00651D93" w:rsidRPr="00831F5B" w:rsidRDefault="00651D93" w:rsidP="001F0251">
      <w:pPr>
        <w:pStyle w:val="afa"/>
        <w:adjustRightInd/>
        <w:snapToGrid w:val="0"/>
        <w:spacing w:line="288" w:lineRule="auto"/>
        <w:ind w:left="360" w:hangingChars="200" w:hanging="360"/>
        <w:rPr>
          <w:rFonts w:eastAsiaTheme="minorEastAsia" w:cs="Times New Roman"/>
          <w:sz w:val="18"/>
          <w:lang w:eastAsia="zh-CN"/>
        </w:rPr>
      </w:pPr>
      <w:r w:rsidRPr="005B61FE">
        <w:rPr>
          <w:rFonts w:cs="Times New Roman"/>
          <w:sz w:val="18"/>
        </w:rPr>
        <w:t>Lee, K.</w:t>
      </w:r>
      <w:r>
        <w:rPr>
          <w:rFonts w:eastAsiaTheme="minorEastAsia" w:cs="Times New Roman" w:hint="eastAsia"/>
          <w:sz w:val="18"/>
          <w:lang w:eastAsia="zh-CN"/>
        </w:rPr>
        <w:t xml:space="preserve">, </w:t>
      </w:r>
      <w:r>
        <w:rPr>
          <w:rFonts w:cs="Times New Roman"/>
          <w:sz w:val="18"/>
        </w:rPr>
        <w:t xml:space="preserve">&amp; </w:t>
      </w:r>
      <w:r w:rsidRPr="005B61FE">
        <w:rPr>
          <w:rFonts w:cs="Times New Roman"/>
          <w:sz w:val="18"/>
        </w:rPr>
        <w:t>Joso</w:t>
      </w:r>
      <w:r>
        <w:rPr>
          <w:rFonts w:eastAsiaTheme="minorEastAsia" w:cs="Times New Roman" w:hint="eastAsia"/>
          <w:sz w:val="18"/>
          <w:lang w:eastAsia="zh-CN"/>
        </w:rPr>
        <w:t xml:space="preserve">, Y. </w:t>
      </w:r>
      <w:r w:rsidRPr="005B61FE">
        <w:rPr>
          <w:rFonts w:cs="Times New Roman"/>
          <w:sz w:val="18"/>
        </w:rPr>
        <w:t>(2009).</w:t>
      </w:r>
      <w:r>
        <w:rPr>
          <w:rFonts w:eastAsiaTheme="minorEastAsia" w:cs="Times New Roman" w:hint="eastAsia"/>
          <w:sz w:val="18"/>
          <w:lang w:eastAsia="zh-CN"/>
        </w:rPr>
        <w:t xml:space="preserve"> </w:t>
      </w:r>
      <w:r w:rsidRPr="005B61FE">
        <w:rPr>
          <w:rFonts w:cs="Times New Roman"/>
          <w:sz w:val="18"/>
        </w:rPr>
        <w:t>The investigation of Japanese company international transfer price.</w:t>
      </w:r>
      <w:r>
        <w:rPr>
          <w:rFonts w:eastAsiaTheme="minorEastAsia" w:cs="Times New Roman" w:hint="eastAsia"/>
          <w:sz w:val="18"/>
          <w:lang w:eastAsia="zh-CN"/>
        </w:rPr>
        <w:t xml:space="preserve"> </w:t>
      </w:r>
      <w:r w:rsidRPr="005B61FE">
        <w:rPr>
          <w:rFonts w:eastAsia="RyuminPro-Regular." w:cs="Times New Roman"/>
          <w:i/>
          <w:sz w:val="18"/>
        </w:rPr>
        <w:t>Melco Journal of Management Accounting Resea</w:t>
      </w:r>
      <w:r w:rsidRPr="00831F5B">
        <w:rPr>
          <w:rFonts w:eastAsia="RyuminPro-Regular." w:cs="Times New Roman"/>
          <w:i/>
          <w:sz w:val="18"/>
        </w:rPr>
        <w:t>rch</w:t>
      </w:r>
      <w:r w:rsidRPr="00831F5B">
        <w:rPr>
          <w:rFonts w:eastAsiaTheme="minorEastAsia" w:cs="Times New Roman" w:hint="eastAsia"/>
          <w:i/>
          <w:sz w:val="18"/>
          <w:lang w:eastAsia="zh-CN"/>
        </w:rPr>
        <w:t xml:space="preserve">, </w:t>
      </w:r>
      <w:r w:rsidRPr="00831F5B">
        <w:rPr>
          <w:rFonts w:eastAsia="RyuminPro-Regular." w:cs="Times New Roman"/>
          <w:i/>
          <w:sz w:val="18"/>
        </w:rPr>
        <w:t>2</w:t>
      </w:r>
      <w:r>
        <w:rPr>
          <w:rFonts w:eastAsiaTheme="minorEastAsia" w:cs="Times New Roman" w:hint="eastAsia"/>
          <w:sz w:val="18"/>
          <w:lang w:eastAsia="zh-CN"/>
        </w:rPr>
        <w:t xml:space="preserve">, </w:t>
      </w:r>
      <w:r w:rsidRPr="005B61FE">
        <w:rPr>
          <w:rFonts w:cs="Times New Roman"/>
          <w:sz w:val="18"/>
        </w:rPr>
        <w:t>111-126</w:t>
      </w:r>
      <w:r>
        <w:rPr>
          <w:rFonts w:eastAsiaTheme="minorEastAsia" w:cs="Times New Roman" w:hint="eastAsia"/>
          <w:sz w:val="18"/>
          <w:lang w:eastAsia="zh-CN"/>
        </w:rPr>
        <w:t xml:space="preserve"> </w:t>
      </w:r>
      <w:r>
        <w:rPr>
          <w:iCs/>
          <w:sz w:val="18"/>
        </w:rPr>
        <w:t>(in Japanese)</w:t>
      </w:r>
      <w:r>
        <w:rPr>
          <w:rFonts w:eastAsiaTheme="minorEastAsia" w:cs="Times New Roman" w:hint="eastAsia"/>
          <w:iCs/>
          <w:sz w:val="18"/>
          <w:lang w:eastAsia="zh-CN"/>
        </w:rPr>
        <w:t>.</w:t>
      </w:r>
    </w:p>
    <w:p w:rsidR="00651D93" w:rsidRPr="005B61FE" w:rsidRDefault="00651D93" w:rsidP="001F0251">
      <w:pPr>
        <w:snapToGrid w:val="0"/>
        <w:spacing w:line="288" w:lineRule="auto"/>
        <w:ind w:left="360" w:hangingChars="200" w:hanging="360"/>
        <w:rPr>
          <w:iCs/>
          <w:sz w:val="18"/>
        </w:rPr>
      </w:pPr>
      <w:r w:rsidRPr="005B61FE">
        <w:rPr>
          <w:iCs/>
          <w:color w:val="000000"/>
          <w:sz w:val="18"/>
        </w:rPr>
        <w:t>Ohnuma, H. (</w:t>
      </w:r>
      <w:r w:rsidRPr="005B61FE">
        <w:rPr>
          <w:iCs/>
          <w:sz w:val="18"/>
        </w:rPr>
        <w:t>2014). Does executive compensation reflect equity risk incentives</w:t>
      </w:r>
      <w:r>
        <w:rPr>
          <w:rFonts w:hint="eastAsia"/>
          <w:iCs/>
          <w:sz w:val="18"/>
        </w:rPr>
        <w:t xml:space="preserve"> </w:t>
      </w:r>
      <w:r w:rsidRPr="005B61FE">
        <w:rPr>
          <w:iCs/>
          <w:sz w:val="18"/>
        </w:rPr>
        <w:t>and corporate tax avoidance? A Japanese perspective.</w:t>
      </w:r>
      <w:r>
        <w:rPr>
          <w:rFonts w:hint="eastAsia"/>
          <w:iCs/>
          <w:sz w:val="18"/>
        </w:rPr>
        <w:t xml:space="preserve"> </w:t>
      </w:r>
      <w:r w:rsidRPr="00831F5B">
        <w:rPr>
          <w:i/>
          <w:iCs/>
          <w:sz w:val="18"/>
        </w:rPr>
        <w:t>Corporate Ownership and Control</w:t>
      </w:r>
      <w:r w:rsidRPr="00831F5B">
        <w:rPr>
          <w:rFonts w:hint="eastAsia"/>
          <w:i/>
          <w:iCs/>
          <w:sz w:val="18"/>
        </w:rPr>
        <w:t xml:space="preserve">, </w:t>
      </w:r>
      <w:r w:rsidRPr="00831F5B">
        <w:rPr>
          <w:i/>
          <w:iCs/>
          <w:sz w:val="18"/>
        </w:rPr>
        <w:t>11</w:t>
      </w:r>
      <w:r w:rsidRPr="005B61FE">
        <w:rPr>
          <w:iCs/>
          <w:sz w:val="18"/>
        </w:rPr>
        <w:t>(2)</w:t>
      </w:r>
      <w:r>
        <w:rPr>
          <w:rFonts w:hint="eastAsia"/>
          <w:iCs/>
          <w:sz w:val="18"/>
        </w:rPr>
        <w:t xml:space="preserve">, </w:t>
      </w:r>
      <w:r w:rsidRPr="005B61FE">
        <w:rPr>
          <w:iCs/>
          <w:sz w:val="18"/>
        </w:rPr>
        <w:t>60-71</w:t>
      </w:r>
      <w:r>
        <w:rPr>
          <w:rFonts w:hint="eastAsia"/>
          <w:iCs/>
          <w:sz w:val="18"/>
        </w:rPr>
        <w:t>.</w:t>
      </w:r>
    </w:p>
    <w:p w:rsidR="00651D93" w:rsidRPr="005B61FE" w:rsidRDefault="00651D93" w:rsidP="001F0251">
      <w:pPr>
        <w:snapToGrid w:val="0"/>
        <w:spacing w:line="288" w:lineRule="auto"/>
        <w:ind w:left="360" w:hangingChars="200" w:hanging="360"/>
        <w:rPr>
          <w:iCs/>
          <w:color w:val="000000"/>
          <w:sz w:val="18"/>
        </w:rPr>
      </w:pPr>
      <w:r w:rsidRPr="005B61FE">
        <w:rPr>
          <w:iCs/>
          <w:color w:val="000000"/>
          <w:sz w:val="18"/>
        </w:rPr>
        <w:t>Onuma, H. (2011). The voluntary disclosure and influence of substantial effect on measurement of the IR about the transfer price taxation.</w:t>
      </w:r>
      <w:r>
        <w:rPr>
          <w:rFonts w:hint="eastAsia"/>
          <w:iCs/>
          <w:color w:val="000000"/>
          <w:sz w:val="18"/>
        </w:rPr>
        <w:t xml:space="preserve"> </w:t>
      </w:r>
      <w:r w:rsidRPr="00986614">
        <w:rPr>
          <w:iCs/>
          <w:color w:val="000000"/>
          <w:sz w:val="18"/>
        </w:rPr>
        <w:t>Japan IR Association.</w:t>
      </w:r>
      <w:r w:rsidRPr="00986614">
        <w:rPr>
          <w:rFonts w:hint="eastAsia"/>
          <w:iCs/>
          <w:color w:val="000000"/>
          <w:sz w:val="18"/>
        </w:rPr>
        <w:t xml:space="preserve"> </w:t>
      </w:r>
      <w:r w:rsidRPr="00986614">
        <w:rPr>
          <w:iCs/>
          <w:color w:val="000000"/>
          <w:sz w:val="18"/>
        </w:rPr>
        <w:t>Final Report on a Special Study Committee: 177-1908</w:t>
      </w:r>
      <w:r>
        <w:rPr>
          <w:rFonts w:hint="eastAsia"/>
          <w:iCs/>
          <w:color w:val="000000"/>
          <w:sz w:val="18"/>
        </w:rPr>
        <w:t xml:space="preserve"> </w:t>
      </w:r>
      <w:r>
        <w:rPr>
          <w:iCs/>
          <w:sz w:val="18"/>
        </w:rPr>
        <w:t>(in Japanese)</w:t>
      </w:r>
      <w:r>
        <w:rPr>
          <w:rFonts w:hint="eastAsia"/>
          <w:iCs/>
          <w:color w:val="000000"/>
          <w:sz w:val="18"/>
        </w:rPr>
        <w:t>.</w:t>
      </w:r>
    </w:p>
    <w:p w:rsidR="00651D93" w:rsidRPr="005B61FE" w:rsidRDefault="00651D93" w:rsidP="001F0251">
      <w:pPr>
        <w:snapToGrid w:val="0"/>
        <w:spacing w:line="288" w:lineRule="auto"/>
        <w:ind w:left="360" w:hangingChars="200" w:hanging="360"/>
        <w:rPr>
          <w:iCs/>
          <w:color w:val="000000"/>
          <w:sz w:val="18"/>
        </w:rPr>
      </w:pPr>
      <w:r w:rsidRPr="005B61FE">
        <w:rPr>
          <w:iCs/>
          <w:color w:val="000000"/>
          <w:sz w:val="18"/>
        </w:rPr>
        <w:t>Rajgopal, S.</w:t>
      </w:r>
      <w:r>
        <w:rPr>
          <w:rFonts w:hint="eastAsia"/>
          <w:iCs/>
          <w:color w:val="000000"/>
          <w:sz w:val="18"/>
        </w:rPr>
        <w:t>,</w:t>
      </w:r>
      <w:r w:rsidRPr="005B61FE">
        <w:rPr>
          <w:iCs/>
          <w:color w:val="000000"/>
          <w:sz w:val="18"/>
        </w:rPr>
        <w:t xml:space="preserve"> &amp; Shevlin</w:t>
      </w:r>
      <w:r>
        <w:rPr>
          <w:rFonts w:hint="eastAsia"/>
          <w:iCs/>
          <w:color w:val="000000"/>
          <w:sz w:val="18"/>
        </w:rPr>
        <w:t>,</w:t>
      </w:r>
      <w:r w:rsidRPr="00831F5B">
        <w:rPr>
          <w:iCs/>
          <w:color w:val="000000"/>
          <w:sz w:val="18"/>
        </w:rPr>
        <w:t xml:space="preserve"> </w:t>
      </w:r>
      <w:r>
        <w:rPr>
          <w:iCs/>
          <w:color w:val="000000"/>
          <w:sz w:val="18"/>
        </w:rPr>
        <w:t>T</w:t>
      </w:r>
      <w:r w:rsidRPr="005B61FE">
        <w:rPr>
          <w:iCs/>
          <w:color w:val="000000"/>
          <w:sz w:val="18"/>
        </w:rPr>
        <w:t>.</w:t>
      </w:r>
      <w:r>
        <w:rPr>
          <w:rFonts w:hint="eastAsia"/>
          <w:iCs/>
          <w:color w:val="000000"/>
          <w:sz w:val="18"/>
        </w:rPr>
        <w:t xml:space="preserve"> </w:t>
      </w:r>
      <w:r w:rsidRPr="005B61FE">
        <w:rPr>
          <w:iCs/>
          <w:color w:val="000000"/>
          <w:sz w:val="18"/>
        </w:rPr>
        <w:t>(2002).</w:t>
      </w:r>
      <w:r>
        <w:rPr>
          <w:rFonts w:hint="eastAsia"/>
          <w:iCs/>
          <w:color w:val="000000"/>
          <w:sz w:val="18"/>
        </w:rPr>
        <w:t xml:space="preserve"> </w:t>
      </w:r>
      <w:r w:rsidRPr="005B61FE">
        <w:rPr>
          <w:iCs/>
          <w:color w:val="000000"/>
          <w:sz w:val="18"/>
        </w:rPr>
        <w:t>Empirical evidence on the relation between stock option compensation and risk taking.</w:t>
      </w:r>
      <w:r>
        <w:rPr>
          <w:rFonts w:hint="eastAsia"/>
          <w:iCs/>
          <w:color w:val="000000"/>
          <w:sz w:val="18"/>
        </w:rPr>
        <w:t xml:space="preserve"> </w:t>
      </w:r>
      <w:r w:rsidRPr="005B61FE">
        <w:rPr>
          <w:i/>
          <w:iCs/>
          <w:color w:val="000000"/>
          <w:sz w:val="18"/>
        </w:rPr>
        <w:t>Journal of Accounting and Economic</w:t>
      </w:r>
      <w:r w:rsidRPr="00831F5B">
        <w:rPr>
          <w:i/>
          <w:iCs/>
          <w:color w:val="000000"/>
          <w:sz w:val="18"/>
        </w:rPr>
        <w:t>s</w:t>
      </w:r>
      <w:r w:rsidRPr="00831F5B">
        <w:rPr>
          <w:rFonts w:hint="eastAsia"/>
          <w:i/>
          <w:iCs/>
          <w:color w:val="000000"/>
          <w:sz w:val="18"/>
        </w:rPr>
        <w:t xml:space="preserve">, </w:t>
      </w:r>
      <w:r w:rsidRPr="00831F5B">
        <w:rPr>
          <w:i/>
          <w:iCs/>
          <w:color w:val="000000"/>
          <w:sz w:val="18"/>
        </w:rPr>
        <w:t>33</w:t>
      </w:r>
      <w:r w:rsidRPr="005B61FE">
        <w:rPr>
          <w:iCs/>
          <w:color w:val="000000"/>
          <w:sz w:val="18"/>
        </w:rPr>
        <w:t>(2)</w:t>
      </w:r>
      <w:r>
        <w:rPr>
          <w:rFonts w:hint="eastAsia"/>
          <w:iCs/>
          <w:color w:val="000000"/>
          <w:sz w:val="18"/>
        </w:rPr>
        <w:t xml:space="preserve">, </w:t>
      </w:r>
      <w:r w:rsidRPr="005B61FE">
        <w:rPr>
          <w:iCs/>
          <w:color w:val="000000"/>
          <w:sz w:val="18"/>
        </w:rPr>
        <w:t>145-171.</w:t>
      </w:r>
    </w:p>
    <w:p w:rsidR="00651D93" w:rsidRPr="005B61FE" w:rsidRDefault="00651D93" w:rsidP="001F0251">
      <w:pPr>
        <w:snapToGrid w:val="0"/>
        <w:spacing w:line="288" w:lineRule="auto"/>
        <w:ind w:left="360" w:hangingChars="200" w:hanging="360"/>
        <w:rPr>
          <w:color w:val="000000"/>
          <w:sz w:val="18"/>
        </w:rPr>
      </w:pPr>
      <w:r w:rsidRPr="005B61FE">
        <w:rPr>
          <w:color w:val="000000"/>
          <w:sz w:val="18"/>
        </w:rPr>
        <w:t>Sharma, R.</w:t>
      </w:r>
      <w:r>
        <w:rPr>
          <w:rFonts w:hint="eastAsia"/>
          <w:color w:val="000000"/>
          <w:sz w:val="18"/>
        </w:rPr>
        <w:t>,</w:t>
      </w:r>
      <w:r w:rsidRPr="005B61FE">
        <w:rPr>
          <w:color w:val="000000"/>
          <w:sz w:val="18"/>
        </w:rPr>
        <w:t xml:space="preserve"> &amp; Mehta</w:t>
      </w:r>
      <w:r>
        <w:rPr>
          <w:rFonts w:hint="eastAsia"/>
          <w:color w:val="000000"/>
          <w:sz w:val="18"/>
        </w:rPr>
        <w:t xml:space="preserve">, </w:t>
      </w:r>
      <w:r>
        <w:rPr>
          <w:color w:val="000000"/>
          <w:sz w:val="18"/>
        </w:rPr>
        <w:t>K</w:t>
      </w:r>
      <w:r w:rsidRPr="005B61FE">
        <w:rPr>
          <w:color w:val="000000"/>
          <w:sz w:val="18"/>
        </w:rPr>
        <w:t>.</w:t>
      </w:r>
      <w:r>
        <w:rPr>
          <w:rFonts w:hint="eastAsia"/>
          <w:color w:val="000000"/>
          <w:sz w:val="18"/>
        </w:rPr>
        <w:t xml:space="preserve"> </w:t>
      </w:r>
      <w:r w:rsidRPr="005B61FE">
        <w:rPr>
          <w:color w:val="000000"/>
          <w:sz w:val="18"/>
        </w:rPr>
        <w:t>(2013).</w:t>
      </w:r>
      <w:r>
        <w:rPr>
          <w:rFonts w:hint="eastAsia"/>
          <w:color w:val="000000"/>
          <w:sz w:val="18"/>
        </w:rPr>
        <w:t xml:space="preserve"> </w:t>
      </w:r>
      <w:r w:rsidRPr="005B61FE">
        <w:rPr>
          <w:color w:val="000000"/>
          <w:sz w:val="18"/>
        </w:rPr>
        <w:t>Fama and French: Three factor model.</w:t>
      </w:r>
      <w:r>
        <w:rPr>
          <w:rFonts w:hint="eastAsia"/>
          <w:color w:val="000000"/>
          <w:sz w:val="18"/>
        </w:rPr>
        <w:t xml:space="preserve"> </w:t>
      </w:r>
      <w:r w:rsidRPr="005B61FE">
        <w:rPr>
          <w:i/>
          <w:color w:val="000000"/>
          <w:sz w:val="18"/>
        </w:rPr>
        <w:t xml:space="preserve">SCMS Journal </w:t>
      </w:r>
      <w:r w:rsidRPr="00831F5B">
        <w:rPr>
          <w:i/>
          <w:color w:val="000000"/>
          <w:sz w:val="18"/>
        </w:rPr>
        <w:t>of Indian Management</w:t>
      </w:r>
      <w:r>
        <w:rPr>
          <w:rFonts w:hint="eastAsia"/>
          <w:i/>
          <w:color w:val="000000"/>
          <w:sz w:val="18"/>
        </w:rPr>
        <w:t xml:space="preserve">, </w:t>
      </w:r>
      <w:r w:rsidRPr="00831F5B">
        <w:rPr>
          <w:i/>
          <w:color w:val="000000"/>
          <w:sz w:val="18"/>
        </w:rPr>
        <w:t>10</w:t>
      </w:r>
      <w:r>
        <w:rPr>
          <w:color w:val="000000"/>
          <w:sz w:val="18"/>
        </w:rPr>
        <w:t>(2)</w:t>
      </w:r>
      <w:r>
        <w:rPr>
          <w:rFonts w:hint="eastAsia"/>
          <w:color w:val="000000"/>
          <w:sz w:val="18"/>
        </w:rPr>
        <w:t xml:space="preserve">, </w:t>
      </w:r>
      <w:r w:rsidRPr="005B61FE">
        <w:rPr>
          <w:color w:val="000000"/>
          <w:sz w:val="18"/>
        </w:rPr>
        <w:t>90-105</w:t>
      </w:r>
      <w:r>
        <w:rPr>
          <w:rFonts w:hint="eastAsia"/>
          <w:color w:val="000000"/>
          <w:sz w:val="18"/>
        </w:rPr>
        <w:t>.</w:t>
      </w:r>
    </w:p>
    <w:p w:rsidR="00651D93" w:rsidRPr="005B61FE" w:rsidRDefault="00651D93" w:rsidP="001F0251">
      <w:pPr>
        <w:snapToGrid w:val="0"/>
        <w:spacing w:line="288" w:lineRule="auto"/>
        <w:ind w:left="360" w:hangingChars="200" w:hanging="360"/>
        <w:rPr>
          <w:iCs/>
          <w:color w:val="000000"/>
          <w:sz w:val="18"/>
        </w:rPr>
      </w:pPr>
      <w:r w:rsidRPr="005B61FE">
        <w:rPr>
          <w:color w:val="000000"/>
          <w:sz w:val="18"/>
        </w:rPr>
        <w:t>Tang, R.</w:t>
      </w:r>
      <w:r>
        <w:rPr>
          <w:rFonts w:hint="eastAsia"/>
          <w:color w:val="000000"/>
          <w:sz w:val="18"/>
        </w:rPr>
        <w:t xml:space="preserve"> </w:t>
      </w:r>
      <w:r w:rsidRPr="005B61FE">
        <w:rPr>
          <w:color w:val="000000"/>
          <w:sz w:val="18"/>
        </w:rPr>
        <w:t>Y.</w:t>
      </w:r>
      <w:r>
        <w:rPr>
          <w:rFonts w:hint="eastAsia"/>
          <w:color w:val="000000"/>
          <w:sz w:val="18"/>
        </w:rPr>
        <w:t xml:space="preserve"> </w:t>
      </w:r>
      <w:r w:rsidRPr="005B61FE">
        <w:rPr>
          <w:color w:val="000000"/>
          <w:sz w:val="18"/>
        </w:rPr>
        <w:t>W.</w:t>
      </w:r>
      <w:r>
        <w:rPr>
          <w:rFonts w:hint="eastAsia"/>
          <w:color w:val="000000"/>
          <w:sz w:val="18"/>
        </w:rPr>
        <w:t xml:space="preserve"> </w:t>
      </w:r>
      <w:r w:rsidRPr="005B61FE">
        <w:rPr>
          <w:color w:val="000000"/>
          <w:sz w:val="18"/>
        </w:rPr>
        <w:t>(1992).</w:t>
      </w:r>
      <w:r>
        <w:rPr>
          <w:rFonts w:hint="eastAsia"/>
          <w:color w:val="000000"/>
          <w:sz w:val="18"/>
        </w:rPr>
        <w:t xml:space="preserve"> </w:t>
      </w:r>
      <w:r>
        <w:rPr>
          <w:i/>
          <w:color w:val="000000"/>
          <w:sz w:val="18"/>
        </w:rPr>
        <w:t xml:space="preserve">Transfer </w:t>
      </w:r>
      <w:r>
        <w:rPr>
          <w:rFonts w:hint="eastAsia"/>
          <w:i/>
          <w:color w:val="000000"/>
          <w:sz w:val="18"/>
        </w:rPr>
        <w:t>p</w:t>
      </w:r>
      <w:r w:rsidRPr="005B61FE">
        <w:rPr>
          <w:i/>
          <w:color w:val="000000"/>
          <w:sz w:val="18"/>
        </w:rPr>
        <w:t>ricing in the 1990</w:t>
      </w:r>
      <w:r>
        <w:rPr>
          <w:i/>
          <w:color w:val="000000"/>
          <w:sz w:val="18"/>
        </w:rPr>
        <w:t>’</w:t>
      </w:r>
      <w:r w:rsidRPr="005B61FE">
        <w:rPr>
          <w:i/>
          <w:color w:val="000000"/>
          <w:sz w:val="18"/>
        </w:rPr>
        <w:t>s:</w:t>
      </w:r>
      <w:r>
        <w:rPr>
          <w:rFonts w:hint="eastAsia"/>
          <w:i/>
          <w:color w:val="000000"/>
          <w:sz w:val="18"/>
        </w:rPr>
        <w:t xml:space="preserve"> </w:t>
      </w:r>
      <w:r w:rsidRPr="005B61FE">
        <w:rPr>
          <w:i/>
          <w:color w:val="000000"/>
          <w:sz w:val="18"/>
        </w:rPr>
        <w:t>Tax and management perspectives</w:t>
      </w:r>
      <w:r w:rsidRPr="005B61FE">
        <w:rPr>
          <w:color w:val="000000"/>
          <w:sz w:val="18"/>
        </w:rPr>
        <w:t xml:space="preserve">. </w:t>
      </w:r>
      <w:r w:rsidRPr="00A0212D">
        <w:rPr>
          <w:color w:val="000000"/>
          <w:sz w:val="18"/>
        </w:rPr>
        <w:t>Westport, CT</w:t>
      </w:r>
      <w:r>
        <w:rPr>
          <w:rFonts w:hint="eastAsia"/>
          <w:color w:val="000000"/>
          <w:sz w:val="18"/>
        </w:rPr>
        <w:t xml:space="preserve">: </w:t>
      </w:r>
      <w:r w:rsidRPr="005B61FE">
        <w:rPr>
          <w:color w:val="000000"/>
          <w:sz w:val="18"/>
        </w:rPr>
        <w:t>Quorum Book.</w:t>
      </w:r>
    </w:p>
    <w:p w:rsidR="00651D93" w:rsidRPr="005B61FE" w:rsidRDefault="00651D93" w:rsidP="001F0251">
      <w:pPr>
        <w:snapToGrid w:val="0"/>
        <w:spacing w:line="288" w:lineRule="auto"/>
        <w:ind w:left="360" w:hangingChars="200" w:hanging="360"/>
        <w:rPr>
          <w:iCs/>
          <w:color w:val="000000"/>
          <w:sz w:val="18"/>
        </w:rPr>
      </w:pPr>
      <w:r w:rsidRPr="005B61FE">
        <w:rPr>
          <w:iCs/>
          <w:color w:val="000000"/>
          <w:sz w:val="18"/>
        </w:rPr>
        <w:t>White, H.</w:t>
      </w:r>
      <w:r>
        <w:rPr>
          <w:rFonts w:hint="eastAsia"/>
          <w:iCs/>
          <w:color w:val="000000"/>
          <w:sz w:val="18"/>
        </w:rPr>
        <w:t xml:space="preserve"> </w:t>
      </w:r>
      <w:r w:rsidRPr="005B61FE">
        <w:rPr>
          <w:iCs/>
          <w:color w:val="000000"/>
          <w:sz w:val="18"/>
        </w:rPr>
        <w:t>(1980).</w:t>
      </w:r>
      <w:r>
        <w:rPr>
          <w:rFonts w:hint="eastAsia"/>
          <w:iCs/>
          <w:color w:val="000000"/>
          <w:sz w:val="18"/>
        </w:rPr>
        <w:t xml:space="preserve"> </w:t>
      </w:r>
      <w:r w:rsidRPr="005B61FE">
        <w:rPr>
          <w:iCs/>
          <w:color w:val="000000"/>
          <w:sz w:val="18"/>
        </w:rPr>
        <w:t>A heteroskedasticity-consistent covariance matrix estimator and a</w:t>
      </w:r>
      <w:r>
        <w:rPr>
          <w:rFonts w:hint="eastAsia"/>
          <w:iCs/>
          <w:color w:val="000000"/>
          <w:sz w:val="18"/>
        </w:rPr>
        <w:t xml:space="preserve"> </w:t>
      </w:r>
      <w:r w:rsidRPr="005B61FE">
        <w:rPr>
          <w:iCs/>
          <w:color w:val="000000"/>
          <w:sz w:val="18"/>
        </w:rPr>
        <w:t>direct test for heteroskedasticity.</w:t>
      </w:r>
      <w:r>
        <w:rPr>
          <w:rFonts w:hint="eastAsia"/>
          <w:iCs/>
          <w:color w:val="000000"/>
          <w:sz w:val="18"/>
        </w:rPr>
        <w:t xml:space="preserve"> </w:t>
      </w:r>
      <w:r w:rsidRPr="005B61FE">
        <w:rPr>
          <w:i/>
          <w:iCs/>
          <w:color w:val="000000"/>
          <w:sz w:val="18"/>
        </w:rPr>
        <w:t>Economet</w:t>
      </w:r>
      <w:r w:rsidRPr="00831F5B">
        <w:rPr>
          <w:i/>
          <w:iCs/>
          <w:color w:val="000000"/>
          <w:sz w:val="18"/>
        </w:rPr>
        <w:t>rica</w:t>
      </w:r>
      <w:r w:rsidRPr="00831F5B">
        <w:rPr>
          <w:rFonts w:hint="eastAsia"/>
          <w:i/>
          <w:iCs/>
          <w:color w:val="000000"/>
          <w:sz w:val="18"/>
        </w:rPr>
        <w:t xml:space="preserve">, </w:t>
      </w:r>
      <w:r w:rsidRPr="00831F5B">
        <w:rPr>
          <w:i/>
          <w:iCs/>
          <w:color w:val="000000"/>
          <w:sz w:val="18"/>
        </w:rPr>
        <w:t>48</w:t>
      </w:r>
      <w:r w:rsidRPr="005B61FE">
        <w:rPr>
          <w:iCs/>
          <w:color w:val="000000"/>
          <w:sz w:val="18"/>
        </w:rPr>
        <w:t>(4)</w:t>
      </w:r>
      <w:r>
        <w:rPr>
          <w:rFonts w:hint="eastAsia"/>
          <w:iCs/>
          <w:color w:val="000000"/>
          <w:sz w:val="18"/>
        </w:rPr>
        <w:t xml:space="preserve">, </w:t>
      </w:r>
      <w:r>
        <w:rPr>
          <w:iCs/>
          <w:color w:val="000000"/>
          <w:sz w:val="18"/>
        </w:rPr>
        <w:t>817-838</w:t>
      </w:r>
      <w:r>
        <w:rPr>
          <w:rFonts w:hint="eastAsia"/>
          <w:iCs/>
          <w:color w:val="000000"/>
          <w:sz w:val="18"/>
        </w:rPr>
        <w:t>.</w:t>
      </w:r>
    </w:p>
    <w:p w:rsidR="00651D93" w:rsidRDefault="00651D93" w:rsidP="001F0251">
      <w:pPr>
        <w:snapToGrid w:val="0"/>
        <w:spacing w:line="288" w:lineRule="auto"/>
        <w:ind w:left="360" w:hangingChars="200" w:hanging="360"/>
        <w:rPr>
          <w:iCs/>
          <w:sz w:val="18"/>
        </w:rPr>
      </w:pPr>
      <w:r w:rsidRPr="005B61FE">
        <w:rPr>
          <w:iCs/>
          <w:sz w:val="18"/>
        </w:rPr>
        <w:t>Yamamoto, S</w:t>
      </w:r>
      <w:r>
        <w:rPr>
          <w:rFonts w:hint="eastAsia"/>
          <w:iCs/>
          <w:sz w:val="18"/>
        </w:rPr>
        <w:t>.,</w:t>
      </w:r>
      <w:r w:rsidRPr="005B61FE">
        <w:rPr>
          <w:iCs/>
          <w:sz w:val="18"/>
        </w:rPr>
        <w:t xml:space="preserve"> &amp; Sasaki,</w:t>
      </w:r>
      <w:r>
        <w:rPr>
          <w:rFonts w:hint="eastAsia"/>
          <w:iCs/>
          <w:sz w:val="18"/>
        </w:rPr>
        <w:t xml:space="preserve"> </w:t>
      </w:r>
      <w:r w:rsidRPr="005B61FE">
        <w:rPr>
          <w:iCs/>
          <w:sz w:val="18"/>
        </w:rPr>
        <w:t>T. (2010).</w:t>
      </w:r>
      <w:r>
        <w:rPr>
          <w:rFonts w:hint="eastAsia"/>
          <w:iCs/>
          <w:sz w:val="18"/>
        </w:rPr>
        <w:t xml:space="preserve"> </w:t>
      </w:r>
      <w:r w:rsidRPr="005B61FE">
        <w:rPr>
          <w:iCs/>
          <w:sz w:val="18"/>
        </w:rPr>
        <w:t>Corporate governance and management compensation.</w:t>
      </w:r>
      <w:r>
        <w:rPr>
          <w:rFonts w:hint="eastAsia"/>
          <w:iCs/>
          <w:sz w:val="18"/>
        </w:rPr>
        <w:t xml:space="preserve"> </w:t>
      </w:r>
      <w:r w:rsidRPr="005B61FE">
        <w:rPr>
          <w:i/>
          <w:iCs/>
          <w:sz w:val="18"/>
        </w:rPr>
        <w:t>Securities Analyst Jour</w:t>
      </w:r>
      <w:r w:rsidRPr="00831F5B">
        <w:rPr>
          <w:i/>
          <w:iCs/>
          <w:sz w:val="18"/>
        </w:rPr>
        <w:t>nal</w:t>
      </w:r>
      <w:r w:rsidRPr="00831F5B">
        <w:rPr>
          <w:rFonts w:hint="eastAsia"/>
          <w:i/>
          <w:iCs/>
          <w:sz w:val="18"/>
        </w:rPr>
        <w:t xml:space="preserve">, </w:t>
      </w:r>
      <w:r w:rsidRPr="00831F5B">
        <w:rPr>
          <w:i/>
          <w:iCs/>
          <w:sz w:val="18"/>
        </w:rPr>
        <w:t>48</w:t>
      </w:r>
      <w:r>
        <w:rPr>
          <w:iCs/>
          <w:sz w:val="18"/>
        </w:rPr>
        <w:t>(6)</w:t>
      </w:r>
      <w:r>
        <w:rPr>
          <w:rFonts w:hint="eastAsia"/>
          <w:iCs/>
          <w:sz w:val="18"/>
        </w:rPr>
        <w:t xml:space="preserve">, </w:t>
      </w:r>
      <w:r w:rsidRPr="005B61FE">
        <w:rPr>
          <w:iCs/>
          <w:sz w:val="18"/>
        </w:rPr>
        <w:t>34-43</w:t>
      </w:r>
      <w:r>
        <w:rPr>
          <w:rFonts w:hint="eastAsia"/>
          <w:iCs/>
          <w:sz w:val="18"/>
        </w:rPr>
        <w:t xml:space="preserve"> </w:t>
      </w:r>
      <w:r>
        <w:rPr>
          <w:iCs/>
          <w:sz w:val="18"/>
        </w:rPr>
        <w:t>(in Japanese)</w:t>
      </w:r>
      <w:r w:rsidRPr="005B61FE">
        <w:rPr>
          <w:iCs/>
          <w:sz w:val="18"/>
        </w:rPr>
        <w:t>.</w:t>
      </w:r>
    </w:p>
    <w:p w:rsidR="00D51C66" w:rsidRDefault="00D51C66" w:rsidP="0026344E">
      <w:pPr>
        <w:spacing w:beforeLines="50" w:afterLines="30"/>
        <w:ind w:firstLineChars="0" w:firstLine="0"/>
        <w:jc w:val="center"/>
        <w:rPr>
          <w:b/>
          <w:bCs/>
          <w:sz w:val="18"/>
        </w:rPr>
      </w:pPr>
      <w:r w:rsidRPr="00C30A0C">
        <w:rPr>
          <w:b/>
          <w:iCs/>
          <w:sz w:val="18"/>
        </w:rPr>
        <w:t>Appendix</w:t>
      </w:r>
      <w:r w:rsidR="00456232">
        <w:rPr>
          <w:rFonts w:hint="eastAsia"/>
          <w:b/>
          <w:iCs/>
          <w:sz w:val="18"/>
        </w:rPr>
        <w:t xml:space="preserve"> A</w:t>
      </w:r>
    </w:p>
    <w:p w:rsidR="00456232" w:rsidRPr="00456232" w:rsidRDefault="00456232" w:rsidP="001F0251">
      <w:pPr>
        <w:ind w:firstLineChars="0" w:firstLine="0"/>
        <w:jc w:val="left"/>
        <w:rPr>
          <w:bCs/>
          <w:sz w:val="18"/>
        </w:rPr>
      </w:pPr>
      <w:r w:rsidRPr="00456232">
        <w:rPr>
          <w:rFonts w:hint="eastAsia"/>
          <w:bCs/>
          <w:sz w:val="18"/>
        </w:rPr>
        <w:t>Table A1</w:t>
      </w:r>
    </w:p>
    <w:p w:rsidR="00456232" w:rsidRPr="00456232" w:rsidRDefault="00456232" w:rsidP="001F0251">
      <w:pPr>
        <w:ind w:firstLineChars="0" w:firstLine="0"/>
        <w:jc w:val="left"/>
        <w:rPr>
          <w:bCs/>
          <w:i/>
          <w:sz w:val="18"/>
        </w:rPr>
      </w:pPr>
      <w:r w:rsidRPr="00456232">
        <w:rPr>
          <w:rFonts w:hint="eastAsia"/>
          <w:bCs/>
          <w:i/>
          <w:sz w:val="18"/>
        </w:rPr>
        <w:t>Variable Definitions</w:t>
      </w:r>
    </w:p>
    <w:tbl>
      <w:tblPr>
        <w:tblStyle w:val="af0"/>
        <w:tblW w:w="9412" w:type="dxa"/>
        <w:jc w:val="center"/>
        <w:tblCellMar>
          <w:left w:w="28" w:type="dxa"/>
          <w:right w:w="28" w:type="dxa"/>
        </w:tblCellMar>
        <w:tblLook w:val="04A0"/>
      </w:tblPr>
      <w:tblGrid>
        <w:gridCol w:w="1418"/>
        <w:gridCol w:w="7994"/>
      </w:tblGrid>
      <w:tr w:rsidR="005B61FE" w:rsidRPr="005B61FE" w:rsidTr="00C9239A">
        <w:trPr>
          <w:trHeight w:val="255"/>
          <w:jc w:val="center"/>
        </w:trPr>
        <w:tc>
          <w:tcPr>
            <w:tcW w:w="1418" w:type="dxa"/>
            <w:shd w:val="clear" w:color="auto" w:fill="auto"/>
            <w:vAlign w:val="center"/>
          </w:tcPr>
          <w:p w:rsidR="005B61FE" w:rsidRPr="005B61FE" w:rsidRDefault="000F46FF" w:rsidP="001F0251">
            <w:pPr>
              <w:adjustRightInd w:val="0"/>
              <w:snapToGrid w:val="0"/>
              <w:ind w:firstLineChars="0" w:firstLine="0"/>
              <w:rPr>
                <w:bCs/>
                <w:sz w:val="18"/>
                <w:lang w:eastAsia="zh-CN"/>
              </w:rPr>
            </w:pPr>
            <w:r>
              <w:rPr>
                <w:rFonts w:hint="eastAsia"/>
                <w:bCs/>
                <w:sz w:val="18"/>
                <w:lang w:eastAsia="zh-CN"/>
              </w:rPr>
              <w:t>Variable</w:t>
            </w:r>
          </w:p>
        </w:tc>
        <w:tc>
          <w:tcPr>
            <w:tcW w:w="7994" w:type="dxa"/>
            <w:shd w:val="clear" w:color="auto" w:fill="auto"/>
            <w:vAlign w:val="center"/>
          </w:tcPr>
          <w:p w:rsidR="005B61FE" w:rsidRPr="005B61FE" w:rsidRDefault="000F46FF" w:rsidP="001F0251">
            <w:pPr>
              <w:adjustRightInd w:val="0"/>
              <w:snapToGrid w:val="0"/>
              <w:ind w:firstLineChars="0" w:firstLine="0"/>
              <w:rPr>
                <w:bCs/>
                <w:sz w:val="18"/>
                <w:lang w:eastAsia="zh-CN"/>
              </w:rPr>
            </w:pPr>
            <w:r>
              <w:rPr>
                <w:rFonts w:hint="eastAsia"/>
                <w:bCs/>
                <w:sz w:val="18"/>
                <w:lang w:eastAsia="zh-CN"/>
              </w:rPr>
              <w:t>Definition</w:t>
            </w:r>
          </w:p>
        </w:tc>
      </w:tr>
      <w:tr w:rsidR="005B61FE" w:rsidRPr="005B61FE" w:rsidTr="00C9239A">
        <w:trPr>
          <w:trHeight w:val="255"/>
          <w:jc w:val="center"/>
        </w:trPr>
        <w:tc>
          <w:tcPr>
            <w:tcW w:w="1418" w:type="dxa"/>
            <w:shd w:val="clear" w:color="auto" w:fill="auto"/>
            <w:vAlign w:val="center"/>
          </w:tcPr>
          <w:p w:rsidR="005B61FE" w:rsidRPr="000F46FF" w:rsidRDefault="005B61FE" w:rsidP="001F0251">
            <w:pPr>
              <w:adjustRightInd w:val="0"/>
              <w:snapToGrid w:val="0"/>
              <w:ind w:firstLineChars="0" w:firstLine="0"/>
              <w:rPr>
                <w:bCs/>
                <w:i/>
                <w:sz w:val="18"/>
              </w:rPr>
            </w:pPr>
            <w:r w:rsidRPr="000F46FF">
              <w:rPr>
                <w:bCs/>
                <w:i/>
                <w:sz w:val="18"/>
              </w:rPr>
              <w:t>CAR</w:t>
            </w:r>
          </w:p>
        </w:tc>
        <w:tc>
          <w:tcPr>
            <w:tcW w:w="7994" w:type="dxa"/>
            <w:shd w:val="clear" w:color="auto" w:fill="auto"/>
            <w:vAlign w:val="center"/>
          </w:tcPr>
          <w:p w:rsidR="005B61FE" w:rsidRPr="005B61FE" w:rsidRDefault="000F46FF" w:rsidP="001F0251">
            <w:pPr>
              <w:adjustRightInd w:val="0"/>
              <w:snapToGrid w:val="0"/>
              <w:ind w:firstLineChars="0" w:firstLine="0"/>
              <w:jc w:val="both"/>
              <w:rPr>
                <w:bCs/>
                <w:sz w:val="18"/>
              </w:rPr>
            </w:pPr>
            <w:r w:rsidRPr="00C30A0C">
              <w:rPr>
                <w:bCs/>
                <w:sz w:val="18"/>
              </w:rPr>
              <w:t xml:space="preserve">Cumulative </w:t>
            </w:r>
            <w:r w:rsidR="005B61FE" w:rsidRPr="00C30A0C">
              <w:rPr>
                <w:bCs/>
                <w:sz w:val="18"/>
              </w:rPr>
              <w:t>abnormal return</w:t>
            </w:r>
          </w:p>
        </w:tc>
      </w:tr>
      <w:tr w:rsidR="005B61FE" w:rsidRPr="005B61FE" w:rsidTr="00C9239A">
        <w:trPr>
          <w:trHeight w:val="255"/>
          <w:jc w:val="center"/>
        </w:trPr>
        <w:tc>
          <w:tcPr>
            <w:tcW w:w="1418" w:type="dxa"/>
            <w:shd w:val="clear" w:color="auto" w:fill="auto"/>
            <w:vAlign w:val="center"/>
          </w:tcPr>
          <w:p w:rsidR="005B61FE" w:rsidRPr="000F46FF" w:rsidRDefault="005B61FE" w:rsidP="001F0251">
            <w:pPr>
              <w:pStyle w:val="afa"/>
              <w:snapToGrid w:val="0"/>
              <w:rPr>
                <w:bCs/>
                <w:i/>
                <w:sz w:val="18"/>
              </w:rPr>
            </w:pPr>
            <w:r w:rsidRPr="000F46FF">
              <w:rPr>
                <w:rFonts w:cs="Times New Roman"/>
                <w:bCs/>
                <w:sz w:val="18"/>
              </w:rPr>
              <w:t>ln_</w:t>
            </w:r>
            <w:r w:rsidRPr="000F46FF">
              <w:rPr>
                <w:rFonts w:cs="Times New Roman"/>
                <w:bCs/>
                <w:i/>
                <w:sz w:val="18"/>
              </w:rPr>
              <w:t xml:space="preserve">Subsidiary </w:t>
            </w:r>
          </w:p>
        </w:tc>
        <w:tc>
          <w:tcPr>
            <w:tcW w:w="7994" w:type="dxa"/>
            <w:shd w:val="clear" w:color="auto" w:fill="auto"/>
            <w:vAlign w:val="center"/>
          </w:tcPr>
          <w:p w:rsidR="005B61FE" w:rsidRPr="00C9239A" w:rsidRDefault="000F46FF" w:rsidP="001F0251">
            <w:pPr>
              <w:pStyle w:val="afa"/>
              <w:snapToGrid w:val="0"/>
              <w:jc w:val="both"/>
              <w:rPr>
                <w:rFonts w:eastAsiaTheme="minorEastAsia" w:cs="Times New Roman"/>
                <w:bCs/>
                <w:sz w:val="18"/>
                <w:lang w:eastAsia="zh-CN"/>
              </w:rPr>
            </w:pPr>
            <w:r w:rsidRPr="00C30A0C">
              <w:rPr>
                <w:rFonts w:cs="Times New Roman"/>
                <w:bCs/>
                <w:sz w:val="18"/>
              </w:rPr>
              <w:t xml:space="preserve">Natural </w:t>
            </w:r>
            <w:r w:rsidR="005B61FE" w:rsidRPr="00C30A0C">
              <w:rPr>
                <w:rFonts w:cs="Times New Roman"/>
                <w:bCs/>
                <w:sz w:val="18"/>
              </w:rPr>
              <w:t>log of the number of subsidiaries</w:t>
            </w:r>
          </w:p>
        </w:tc>
      </w:tr>
      <w:tr w:rsidR="005B61FE" w:rsidRPr="005B61FE" w:rsidTr="00C9239A">
        <w:trPr>
          <w:trHeight w:val="255"/>
          <w:jc w:val="center"/>
        </w:trPr>
        <w:tc>
          <w:tcPr>
            <w:tcW w:w="1418" w:type="dxa"/>
            <w:shd w:val="clear" w:color="auto" w:fill="auto"/>
            <w:vAlign w:val="center"/>
          </w:tcPr>
          <w:p w:rsidR="005B61FE" w:rsidRPr="000F46FF" w:rsidRDefault="005B61FE" w:rsidP="001F0251">
            <w:pPr>
              <w:pStyle w:val="afa"/>
              <w:snapToGrid w:val="0"/>
              <w:rPr>
                <w:rFonts w:eastAsiaTheme="minorEastAsia" w:cs="Times New Roman"/>
                <w:bCs/>
                <w:i/>
                <w:sz w:val="18"/>
                <w:lang w:eastAsia="zh-CN"/>
              </w:rPr>
            </w:pPr>
            <w:r w:rsidRPr="000F46FF">
              <w:rPr>
                <w:rFonts w:cs="Times New Roman"/>
                <w:bCs/>
                <w:i/>
                <w:sz w:val="18"/>
              </w:rPr>
              <w:t xml:space="preserve">Foreignsales </w:t>
            </w:r>
          </w:p>
        </w:tc>
        <w:tc>
          <w:tcPr>
            <w:tcW w:w="7994" w:type="dxa"/>
            <w:shd w:val="clear" w:color="auto" w:fill="auto"/>
            <w:vAlign w:val="center"/>
          </w:tcPr>
          <w:p w:rsidR="005B61FE" w:rsidRPr="00C9239A" w:rsidRDefault="000F46FF" w:rsidP="001F0251">
            <w:pPr>
              <w:pStyle w:val="afa"/>
              <w:snapToGrid w:val="0"/>
              <w:jc w:val="both"/>
              <w:rPr>
                <w:rFonts w:eastAsiaTheme="minorEastAsia" w:cs="Times New Roman"/>
                <w:bCs/>
                <w:sz w:val="18"/>
                <w:lang w:eastAsia="zh-CN"/>
              </w:rPr>
            </w:pPr>
            <w:r w:rsidRPr="00C30A0C">
              <w:rPr>
                <w:rFonts w:cs="Times New Roman"/>
                <w:bCs/>
                <w:sz w:val="18"/>
              </w:rPr>
              <w:t xml:space="preserve">Sales </w:t>
            </w:r>
            <w:r w:rsidR="005B61FE" w:rsidRPr="00C30A0C">
              <w:rPr>
                <w:rFonts w:cs="Times New Roman"/>
                <w:bCs/>
                <w:sz w:val="18"/>
              </w:rPr>
              <w:t>in foreign countries divided by total sales</w:t>
            </w:r>
          </w:p>
        </w:tc>
      </w:tr>
      <w:tr w:rsidR="005B61FE" w:rsidRPr="005B61FE" w:rsidTr="00C9239A">
        <w:trPr>
          <w:trHeight w:val="255"/>
          <w:jc w:val="center"/>
        </w:trPr>
        <w:tc>
          <w:tcPr>
            <w:tcW w:w="1418" w:type="dxa"/>
            <w:shd w:val="clear" w:color="auto" w:fill="auto"/>
            <w:vAlign w:val="center"/>
          </w:tcPr>
          <w:p w:rsidR="005B61FE" w:rsidRPr="000F46FF" w:rsidRDefault="005B61FE" w:rsidP="001F0251">
            <w:pPr>
              <w:adjustRightInd w:val="0"/>
              <w:snapToGrid w:val="0"/>
              <w:ind w:firstLineChars="0" w:firstLine="0"/>
              <w:rPr>
                <w:bCs/>
                <w:i/>
                <w:sz w:val="18"/>
              </w:rPr>
            </w:pPr>
            <w:r w:rsidRPr="000F46FF">
              <w:rPr>
                <w:bCs/>
                <w:i/>
                <w:sz w:val="18"/>
              </w:rPr>
              <w:t>Manufact</w:t>
            </w:r>
          </w:p>
        </w:tc>
        <w:tc>
          <w:tcPr>
            <w:tcW w:w="7994" w:type="dxa"/>
            <w:shd w:val="clear" w:color="auto" w:fill="auto"/>
            <w:vAlign w:val="center"/>
          </w:tcPr>
          <w:p w:rsidR="005B61FE" w:rsidRPr="005B61FE" w:rsidRDefault="000F46FF" w:rsidP="001F0251">
            <w:pPr>
              <w:adjustRightInd w:val="0"/>
              <w:snapToGrid w:val="0"/>
              <w:ind w:firstLineChars="0" w:firstLine="0"/>
              <w:jc w:val="both"/>
              <w:rPr>
                <w:bCs/>
                <w:sz w:val="18"/>
              </w:rPr>
            </w:pPr>
            <w:r w:rsidRPr="00C30A0C">
              <w:rPr>
                <w:bCs/>
                <w:sz w:val="18"/>
              </w:rPr>
              <w:t xml:space="preserve">An </w:t>
            </w:r>
            <w:r w:rsidR="005B61FE" w:rsidRPr="00C30A0C">
              <w:rPr>
                <w:bCs/>
                <w:sz w:val="18"/>
              </w:rPr>
              <w:t>indicator variable</w:t>
            </w:r>
            <w:r>
              <w:rPr>
                <w:rFonts w:hint="eastAsia"/>
                <w:bCs/>
                <w:sz w:val="18"/>
                <w:lang w:eastAsia="zh-CN"/>
              </w:rPr>
              <w:t xml:space="preserve"> which equals to</w:t>
            </w:r>
            <w:r w:rsidR="005B61FE" w:rsidRPr="00C30A0C">
              <w:rPr>
                <w:bCs/>
                <w:sz w:val="18"/>
              </w:rPr>
              <w:t xml:space="preserve"> 1 if the firm belongs to the manufacturing industries</w:t>
            </w:r>
            <w:r>
              <w:rPr>
                <w:rFonts w:hint="eastAsia"/>
                <w:bCs/>
                <w:sz w:val="18"/>
                <w:lang w:eastAsia="zh-CN"/>
              </w:rPr>
              <w:t xml:space="preserve"> and</w:t>
            </w:r>
            <w:r w:rsidR="005B61FE" w:rsidRPr="00C30A0C">
              <w:rPr>
                <w:bCs/>
                <w:sz w:val="18"/>
              </w:rPr>
              <w:t xml:space="preserve"> 0 </w:t>
            </w:r>
            <w:r>
              <w:rPr>
                <w:rFonts w:hint="eastAsia"/>
                <w:bCs/>
                <w:sz w:val="18"/>
                <w:lang w:eastAsia="zh-CN"/>
              </w:rPr>
              <w:t xml:space="preserve">if </w:t>
            </w:r>
            <w:r w:rsidR="005B61FE" w:rsidRPr="00C30A0C">
              <w:rPr>
                <w:bCs/>
                <w:sz w:val="18"/>
              </w:rPr>
              <w:t>otherwise</w:t>
            </w:r>
          </w:p>
        </w:tc>
      </w:tr>
      <w:tr w:rsidR="005B61FE" w:rsidRPr="005B61FE" w:rsidTr="00C9239A">
        <w:trPr>
          <w:trHeight w:val="255"/>
          <w:jc w:val="center"/>
        </w:trPr>
        <w:tc>
          <w:tcPr>
            <w:tcW w:w="1418" w:type="dxa"/>
            <w:shd w:val="clear" w:color="auto" w:fill="auto"/>
            <w:vAlign w:val="center"/>
          </w:tcPr>
          <w:p w:rsidR="005B61FE" w:rsidRPr="000F46FF" w:rsidRDefault="005B61FE" w:rsidP="001F0251">
            <w:pPr>
              <w:pStyle w:val="afa"/>
              <w:snapToGrid w:val="0"/>
              <w:rPr>
                <w:rFonts w:eastAsiaTheme="minorEastAsia" w:cs="Times New Roman"/>
                <w:i/>
                <w:spacing w:val="2"/>
                <w:sz w:val="18"/>
                <w:lang w:eastAsia="zh-CN"/>
              </w:rPr>
            </w:pPr>
            <w:r w:rsidRPr="000F46FF">
              <w:rPr>
                <w:rFonts w:cs="Times New Roman"/>
                <w:bCs/>
                <w:i/>
                <w:sz w:val="18"/>
              </w:rPr>
              <w:t>Intangibles</w:t>
            </w:r>
          </w:p>
        </w:tc>
        <w:tc>
          <w:tcPr>
            <w:tcW w:w="7994" w:type="dxa"/>
            <w:shd w:val="clear" w:color="auto" w:fill="auto"/>
            <w:vAlign w:val="center"/>
          </w:tcPr>
          <w:p w:rsidR="005B61FE" w:rsidRPr="005B61FE" w:rsidRDefault="000F46FF" w:rsidP="001F0251">
            <w:pPr>
              <w:adjustRightInd w:val="0"/>
              <w:snapToGrid w:val="0"/>
              <w:ind w:firstLineChars="0" w:firstLine="0"/>
              <w:jc w:val="both"/>
              <w:rPr>
                <w:bCs/>
                <w:sz w:val="18"/>
              </w:rPr>
            </w:pPr>
            <w:r w:rsidRPr="00C30A0C">
              <w:rPr>
                <w:spacing w:val="2"/>
                <w:sz w:val="18"/>
              </w:rPr>
              <w:t>Intangible</w:t>
            </w:r>
            <w:r>
              <w:rPr>
                <w:rFonts w:hint="eastAsia"/>
                <w:spacing w:val="2"/>
                <w:sz w:val="18"/>
                <w:lang w:eastAsia="zh-CN"/>
              </w:rPr>
              <w:t xml:space="preserve"> </w:t>
            </w:r>
            <w:r w:rsidRPr="00C30A0C">
              <w:rPr>
                <w:spacing w:val="2"/>
                <w:sz w:val="18"/>
              </w:rPr>
              <w:t>fixed</w:t>
            </w:r>
            <w:r>
              <w:rPr>
                <w:rFonts w:hint="eastAsia"/>
                <w:spacing w:val="2"/>
                <w:sz w:val="18"/>
                <w:lang w:eastAsia="zh-CN"/>
              </w:rPr>
              <w:t xml:space="preserve"> </w:t>
            </w:r>
            <w:r w:rsidRPr="00C30A0C">
              <w:rPr>
                <w:spacing w:val="2"/>
                <w:sz w:val="18"/>
              </w:rPr>
              <w:t xml:space="preserve">assets </w:t>
            </w:r>
            <w:r w:rsidR="005B61FE" w:rsidRPr="00C30A0C">
              <w:rPr>
                <w:spacing w:val="2"/>
                <w:sz w:val="18"/>
              </w:rPr>
              <w:t>divided by total sales</w:t>
            </w:r>
          </w:p>
        </w:tc>
      </w:tr>
      <w:tr w:rsidR="005B61FE" w:rsidRPr="005B61FE" w:rsidTr="00C9239A">
        <w:trPr>
          <w:trHeight w:val="255"/>
          <w:jc w:val="center"/>
        </w:trPr>
        <w:tc>
          <w:tcPr>
            <w:tcW w:w="1418" w:type="dxa"/>
            <w:shd w:val="clear" w:color="auto" w:fill="auto"/>
            <w:vAlign w:val="center"/>
          </w:tcPr>
          <w:p w:rsidR="005B61FE" w:rsidRPr="000F46FF" w:rsidRDefault="005B61FE" w:rsidP="001F0251">
            <w:pPr>
              <w:pStyle w:val="afa"/>
              <w:snapToGrid w:val="0"/>
              <w:rPr>
                <w:rFonts w:eastAsiaTheme="minorEastAsia"/>
                <w:bCs/>
                <w:i/>
                <w:sz w:val="18"/>
                <w:lang w:eastAsia="zh-CN"/>
              </w:rPr>
            </w:pPr>
            <w:r w:rsidRPr="000F46FF">
              <w:rPr>
                <w:rFonts w:cs="Times New Roman"/>
                <w:i/>
                <w:spacing w:val="2"/>
                <w:sz w:val="18"/>
              </w:rPr>
              <w:t>Rd</w:t>
            </w:r>
          </w:p>
        </w:tc>
        <w:tc>
          <w:tcPr>
            <w:tcW w:w="7994" w:type="dxa"/>
            <w:shd w:val="clear" w:color="auto" w:fill="auto"/>
            <w:vAlign w:val="center"/>
          </w:tcPr>
          <w:p w:rsidR="005B61FE" w:rsidRPr="00C9239A" w:rsidRDefault="005B61FE" w:rsidP="001F0251">
            <w:pPr>
              <w:pStyle w:val="afa"/>
              <w:snapToGrid w:val="0"/>
              <w:jc w:val="both"/>
              <w:rPr>
                <w:rFonts w:eastAsiaTheme="minorEastAsia" w:cs="Times New Roman"/>
                <w:bCs/>
                <w:sz w:val="18"/>
                <w:lang w:eastAsia="zh-CN"/>
              </w:rPr>
            </w:pPr>
            <w:r w:rsidRPr="00C30A0C">
              <w:rPr>
                <w:rFonts w:cs="Times New Roman"/>
                <w:spacing w:val="2"/>
                <w:sz w:val="18"/>
              </w:rPr>
              <w:t xml:space="preserve">Research and </w:t>
            </w:r>
            <w:r w:rsidR="000F46FF" w:rsidRPr="00C30A0C">
              <w:rPr>
                <w:rFonts w:cs="Times New Roman"/>
                <w:spacing w:val="2"/>
                <w:sz w:val="18"/>
              </w:rPr>
              <w:t>developmen</w:t>
            </w:r>
            <w:r w:rsidRPr="00C30A0C">
              <w:rPr>
                <w:rFonts w:cs="Times New Roman"/>
                <w:spacing w:val="2"/>
                <w:sz w:val="18"/>
              </w:rPr>
              <w:t>t expense divided by total sales</w:t>
            </w:r>
          </w:p>
        </w:tc>
      </w:tr>
      <w:tr w:rsidR="005B61FE" w:rsidRPr="005B61FE" w:rsidTr="00C9239A">
        <w:trPr>
          <w:trHeight w:val="255"/>
          <w:jc w:val="center"/>
        </w:trPr>
        <w:tc>
          <w:tcPr>
            <w:tcW w:w="1418" w:type="dxa"/>
            <w:shd w:val="clear" w:color="auto" w:fill="auto"/>
            <w:vAlign w:val="center"/>
          </w:tcPr>
          <w:p w:rsidR="005B61FE" w:rsidRPr="000F46FF" w:rsidRDefault="005B61FE" w:rsidP="001F0251">
            <w:pPr>
              <w:pStyle w:val="afa"/>
              <w:snapToGrid w:val="0"/>
              <w:rPr>
                <w:bCs/>
                <w:i/>
                <w:sz w:val="18"/>
              </w:rPr>
            </w:pPr>
            <w:r w:rsidRPr="000F46FF">
              <w:rPr>
                <w:rFonts w:cs="Times New Roman"/>
                <w:i/>
                <w:spacing w:val="2"/>
                <w:sz w:val="18"/>
              </w:rPr>
              <w:t xml:space="preserve">Advertise </w:t>
            </w:r>
          </w:p>
        </w:tc>
        <w:tc>
          <w:tcPr>
            <w:tcW w:w="7994" w:type="dxa"/>
            <w:shd w:val="clear" w:color="auto" w:fill="auto"/>
            <w:vAlign w:val="center"/>
          </w:tcPr>
          <w:p w:rsidR="005B61FE" w:rsidRPr="00C9239A" w:rsidRDefault="000F46FF" w:rsidP="001F0251">
            <w:pPr>
              <w:pStyle w:val="afa"/>
              <w:snapToGrid w:val="0"/>
              <w:jc w:val="both"/>
              <w:rPr>
                <w:rFonts w:eastAsiaTheme="minorEastAsia" w:cs="Times New Roman"/>
                <w:spacing w:val="2"/>
                <w:sz w:val="18"/>
                <w:lang w:eastAsia="zh-CN"/>
              </w:rPr>
            </w:pPr>
            <w:r>
              <w:rPr>
                <w:rFonts w:eastAsiaTheme="minorEastAsia" w:cs="Times New Roman" w:hint="eastAsia"/>
                <w:spacing w:val="2"/>
                <w:sz w:val="18"/>
                <w:lang w:eastAsia="zh-CN"/>
              </w:rPr>
              <w:t>A</w:t>
            </w:r>
            <w:r w:rsidR="005B61FE" w:rsidRPr="00C30A0C">
              <w:rPr>
                <w:rFonts w:cs="Times New Roman"/>
                <w:spacing w:val="2"/>
                <w:sz w:val="18"/>
              </w:rPr>
              <w:t>dvertisement expense divided by total sales</w:t>
            </w:r>
          </w:p>
        </w:tc>
      </w:tr>
      <w:tr w:rsidR="005B61FE" w:rsidRPr="005B61FE" w:rsidTr="00C9239A">
        <w:trPr>
          <w:trHeight w:val="255"/>
          <w:jc w:val="center"/>
        </w:trPr>
        <w:tc>
          <w:tcPr>
            <w:tcW w:w="1418" w:type="dxa"/>
            <w:shd w:val="clear" w:color="auto" w:fill="auto"/>
            <w:vAlign w:val="center"/>
          </w:tcPr>
          <w:p w:rsidR="005B61FE" w:rsidRPr="000F46FF" w:rsidRDefault="005B61FE" w:rsidP="001F0251">
            <w:pPr>
              <w:pStyle w:val="afa"/>
              <w:snapToGrid w:val="0"/>
              <w:rPr>
                <w:bCs/>
                <w:i/>
                <w:sz w:val="18"/>
              </w:rPr>
            </w:pPr>
            <w:r w:rsidRPr="000F46FF">
              <w:rPr>
                <w:rFonts w:cs="Times New Roman"/>
                <w:i/>
                <w:spacing w:val="2"/>
                <w:sz w:val="18"/>
              </w:rPr>
              <w:t xml:space="preserve">High rd </w:t>
            </w:r>
          </w:p>
        </w:tc>
        <w:tc>
          <w:tcPr>
            <w:tcW w:w="7994" w:type="dxa"/>
            <w:shd w:val="clear" w:color="auto" w:fill="auto"/>
            <w:vAlign w:val="center"/>
          </w:tcPr>
          <w:p w:rsidR="005B61FE" w:rsidRPr="000F46FF" w:rsidRDefault="000F46FF" w:rsidP="00DE261A">
            <w:pPr>
              <w:pStyle w:val="afa"/>
              <w:snapToGrid w:val="0"/>
              <w:jc w:val="both"/>
              <w:rPr>
                <w:rFonts w:eastAsiaTheme="minorEastAsia" w:cs="Times New Roman"/>
                <w:spacing w:val="2"/>
                <w:sz w:val="18"/>
                <w:lang w:eastAsia="zh-CN"/>
              </w:rPr>
            </w:pPr>
            <w:r>
              <w:rPr>
                <w:rFonts w:eastAsiaTheme="minorEastAsia" w:cs="Times New Roman" w:hint="eastAsia"/>
                <w:spacing w:val="2"/>
                <w:sz w:val="18"/>
                <w:lang w:eastAsia="zh-CN"/>
              </w:rPr>
              <w:t>An</w:t>
            </w:r>
            <w:r w:rsidR="005B61FE" w:rsidRPr="00C30A0C">
              <w:rPr>
                <w:rFonts w:cs="Times New Roman"/>
                <w:spacing w:val="2"/>
                <w:sz w:val="18"/>
              </w:rPr>
              <w:t xml:space="preserve"> indicator variable</w:t>
            </w:r>
            <w:r>
              <w:rPr>
                <w:rFonts w:eastAsiaTheme="minorEastAsia" w:cs="Times New Roman" w:hint="eastAsia"/>
                <w:spacing w:val="2"/>
                <w:sz w:val="18"/>
                <w:lang w:eastAsia="zh-CN"/>
              </w:rPr>
              <w:t xml:space="preserve"> which equals to</w:t>
            </w:r>
            <w:r w:rsidR="005B61FE" w:rsidRPr="00C30A0C">
              <w:rPr>
                <w:rFonts w:cs="Times New Roman"/>
                <w:spacing w:val="2"/>
                <w:sz w:val="18"/>
              </w:rPr>
              <w:t xml:space="preserve"> 1 if companies</w:t>
            </w:r>
            <w:r w:rsidR="00DE261A">
              <w:rPr>
                <w:rFonts w:eastAsiaTheme="minorEastAsia" w:cs="Times New Roman"/>
                <w:spacing w:val="2"/>
                <w:sz w:val="18"/>
                <w:lang w:eastAsia="zh-CN"/>
              </w:rPr>
              <w:t>’</w:t>
            </w:r>
            <w:r>
              <w:rPr>
                <w:rFonts w:eastAsiaTheme="minorEastAsia" w:cs="Times New Roman" w:hint="eastAsia"/>
                <w:spacing w:val="2"/>
                <w:sz w:val="18"/>
                <w:lang w:eastAsia="zh-CN"/>
              </w:rPr>
              <w:t xml:space="preserve"> R&amp;D </w:t>
            </w:r>
            <w:r w:rsidR="005B61FE" w:rsidRPr="00C30A0C">
              <w:rPr>
                <w:rFonts w:cs="Times New Roman"/>
                <w:spacing w:val="2"/>
                <w:sz w:val="18"/>
              </w:rPr>
              <w:t xml:space="preserve">expense is higher than the median in the sample and 0 </w:t>
            </w:r>
            <w:r>
              <w:rPr>
                <w:rFonts w:eastAsiaTheme="minorEastAsia" w:cs="Times New Roman" w:hint="eastAsia"/>
                <w:spacing w:val="2"/>
                <w:sz w:val="18"/>
                <w:lang w:eastAsia="zh-CN"/>
              </w:rPr>
              <w:t xml:space="preserve">if </w:t>
            </w:r>
            <w:r w:rsidR="005B61FE" w:rsidRPr="00C30A0C">
              <w:rPr>
                <w:rFonts w:cs="Times New Roman"/>
                <w:spacing w:val="2"/>
                <w:sz w:val="18"/>
              </w:rPr>
              <w:t>otherwise</w:t>
            </w:r>
          </w:p>
        </w:tc>
      </w:tr>
      <w:tr w:rsidR="005B61FE" w:rsidRPr="005B61FE" w:rsidTr="00C9239A">
        <w:trPr>
          <w:trHeight w:val="255"/>
          <w:jc w:val="center"/>
        </w:trPr>
        <w:tc>
          <w:tcPr>
            <w:tcW w:w="1418" w:type="dxa"/>
            <w:shd w:val="clear" w:color="auto" w:fill="auto"/>
            <w:vAlign w:val="center"/>
          </w:tcPr>
          <w:p w:rsidR="005B61FE" w:rsidRPr="000F46FF" w:rsidRDefault="005B61FE" w:rsidP="001F0251">
            <w:pPr>
              <w:pStyle w:val="afa"/>
              <w:snapToGrid w:val="0"/>
              <w:rPr>
                <w:rFonts w:eastAsiaTheme="minorEastAsia" w:cs="Times New Roman"/>
                <w:i/>
                <w:spacing w:val="2"/>
                <w:sz w:val="18"/>
                <w:lang w:eastAsia="zh-CN"/>
              </w:rPr>
            </w:pPr>
            <w:r w:rsidRPr="000F46FF">
              <w:rPr>
                <w:rFonts w:cs="Times New Roman"/>
                <w:i/>
                <w:spacing w:val="2"/>
                <w:sz w:val="18"/>
              </w:rPr>
              <w:t xml:space="preserve">High advertise </w:t>
            </w:r>
          </w:p>
        </w:tc>
        <w:tc>
          <w:tcPr>
            <w:tcW w:w="7994" w:type="dxa"/>
            <w:shd w:val="clear" w:color="auto" w:fill="auto"/>
            <w:vAlign w:val="center"/>
          </w:tcPr>
          <w:p w:rsidR="005B61FE" w:rsidRPr="005B61FE" w:rsidRDefault="000F46FF" w:rsidP="00DE261A">
            <w:pPr>
              <w:adjustRightInd w:val="0"/>
              <w:snapToGrid w:val="0"/>
              <w:ind w:firstLineChars="0" w:firstLine="0"/>
              <w:jc w:val="both"/>
              <w:rPr>
                <w:bCs/>
                <w:sz w:val="18"/>
                <w:lang w:eastAsia="zh-CN"/>
              </w:rPr>
            </w:pPr>
            <w:r w:rsidRPr="00C30A0C">
              <w:rPr>
                <w:spacing w:val="2"/>
                <w:sz w:val="18"/>
              </w:rPr>
              <w:t>An</w:t>
            </w:r>
            <w:r w:rsidR="005B61FE" w:rsidRPr="00C30A0C">
              <w:rPr>
                <w:spacing w:val="2"/>
                <w:sz w:val="18"/>
              </w:rPr>
              <w:t xml:space="preserve"> indicator variable</w:t>
            </w:r>
            <w:r>
              <w:rPr>
                <w:rFonts w:hint="eastAsia"/>
                <w:spacing w:val="2"/>
                <w:sz w:val="18"/>
                <w:lang w:eastAsia="zh-CN"/>
              </w:rPr>
              <w:t xml:space="preserve"> which equals to</w:t>
            </w:r>
            <w:r w:rsidR="005B61FE" w:rsidRPr="00C30A0C">
              <w:rPr>
                <w:spacing w:val="2"/>
                <w:sz w:val="18"/>
              </w:rPr>
              <w:t xml:space="preserve"> 1 if companies</w:t>
            </w:r>
            <w:r w:rsidR="00DE261A">
              <w:rPr>
                <w:spacing w:val="2"/>
                <w:sz w:val="18"/>
                <w:lang w:eastAsia="zh-CN"/>
              </w:rPr>
              <w:t>’</w:t>
            </w:r>
            <w:r>
              <w:rPr>
                <w:rFonts w:hint="eastAsia"/>
                <w:spacing w:val="2"/>
                <w:sz w:val="18"/>
                <w:lang w:eastAsia="zh-CN"/>
              </w:rPr>
              <w:t xml:space="preserve"> </w:t>
            </w:r>
            <w:r>
              <w:rPr>
                <w:spacing w:val="2"/>
                <w:sz w:val="18"/>
              </w:rPr>
              <w:t>advertis</w:t>
            </w:r>
            <w:r>
              <w:rPr>
                <w:rFonts w:hint="eastAsia"/>
                <w:spacing w:val="2"/>
                <w:sz w:val="18"/>
                <w:lang w:eastAsia="zh-CN"/>
              </w:rPr>
              <w:t>ing e</w:t>
            </w:r>
            <w:r w:rsidR="005B61FE" w:rsidRPr="00C30A0C">
              <w:rPr>
                <w:spacing w:val="2"/>
                <w:sz w:val="18"/>
              </w:rPr>
              <w:t xml:space="preserve">xpense is higher than the median in the sample and 0 </w:t>
            </w:r>
            <w:r>
              <w:rPr>
                <w:rFonts w:hint="eastAsia"/>
                <w:spacing w:val="2"/>
                <w:sz w:val="18"/>
                <w:lang w:eastAsia="zh-CN"/>
              </w:rPr>
              <w:t xml:space="preserve">if </w:t>
            </w:r>
            <w:r w:rsidR="005B61FE" w:rsidRPr="00C30A0C">
              <w:rPr>
                <w:spacing w:val="2"/>
                <w:sz w:val="18"/>
              </w:rPr>
              <w:t>otherwise</w:t>
            </w:r>
          </w:p>
        </w:tc>
      </w:tr>
      <w:tr w:rsidR="005B61FE" w:rsidRPr="005B61FE" w:rsidTr="00C9239A">
        <w:trPr>
          <w:trHeight w:val="255"/>
          <w:jc w:val="center"/>
        </w:trPr>
        <w:tc>
          <w:tcPr>
            <w:tcW w:w="1418" w:type="dxa"/>
            <w:shd w:val="clear" w:color="auto" w:fill="auto"/>
            <w:vAlign w:val="center"/>
          </w:tcPr>
          <w:p w:rsidR="005B61FE" w:rsidRPr="000F46FF" w:rsidRDefault="005B61FE" w:rsidP="001F0251">
            <w:pPr>
              <w:pStyle w:val="afa"/>
              <w:snapToGrid w:val="0"/>
              <w:rPr>
                <w:rFonts w:eastAsiaTheme="minorEastAsia" w:cs="Times New Roman"/>
                <w:i/>
                <w:spacing w:val="2"/>
                <w:sz w:val="18"/>
                <w:lang w:eastAsia="zh-CN"/>
              </w:rPr>
            </w:pPr>
            <w:r w:rsidRPr="000F46FF">
              <w:rPr>
                <w:rFonts w:cs="Times New Roman"/>
                <w:i/>
                <w:spacing w:val="2"/>
                <w:sz w:val="18"/>
              </w:rPr>
              <w:t xml:space="preserve">Compensation </w:t>
            </w:r>
          </w:p>
        </w:tc>
        <w:tc>
          <w:tcPr>
            <w:tcW w:w="7994" w:type="dxa"/>
            <w:shd w:val="clear" w:color="auto" w:fill="auto"/>
            <w:vAlign w:val="center"/>
          </w:tcPr>
          <w:p w:rsidR="005B61FE" w:rsidRPr="005B61FE" w:rsidRDefault="000F46FF" w:rsidP="001F0251">
            <w:pPr>
              <w:adjustRightInd w:val="0"/>
              <w:snapToGrid w:val="0"/>
              <w:ind w:firstLineChars="0" w:firstLine="0"/>
              <w:jc w:val="both"/>
              <w:rPr>
                <w:bCs/>
                <w:sz w:val="18"/>
              </w:rPr>
            </w:pPr>
            <w:r>
              <w:rPr>
                <w:rFonts w:hint="eastAsia"/>
                <w:spacing w:val="2"/>
                <w:sz w:val="18"/>
                <w:lang w:eastAsia="zh-CN"/>
              </w:rPr>
              <w:t>T</w:t>
            </w:r>
            <w:r w:rsidR="005B61FE" w:rsidRPr="00C30A0C">
              <w:rPr>
                <w:spacing w:val="2"/>
                <w:sz w:val="18"/>
              </w:rPr>
              <w:t>otal amount of compensation including cash, bonus, and postretirement paid for the executive directors in the companies divided by total sales</w:t>
            </w:r>
          </w:p>
        </w:tc>
      </w:tr>
      <w:tr w:rsidR="005B61FE" w:rsidRPr="005B61FE" w:rsidTr="00C9239A">
        <w:trPr>
          <w:trHeight w:val="255"/>
          <w:jc w:val="center"/>
        </w:trPr>
        <w:tc>
          <w:tcPr>
            <w:tcW w:w="1418" w:type="dxa"/>
            <w:shd w:val="clear" w:color="auto" w:fill="auto"/>
            <w:vAlign w:val="center"/>
          </w:tcPr>
          <w:p w:rsidR="005B61FE" w:rsidRPr="000F46FF" w:rsidRDefault="005B61FE" w:rsidP="001F0251">
            <w:pPr>
              <w:pStyle w:val="afa"/>
              <w:snapToGrid w:val="0"/>
              <w:rPr>
                <w:bCs/>
                <w:i/>
                <w:sz w:val="18"/>
              </w:rPr>
            </w:pPr>
            <w:r w:rsidRPr="000F46FF">
              <w:rPr>
                <w:rFonts w:cs="Times New Roman"/>
                <w:i/>
                <w:spacing w:val="2"/>
                <w:sz w:val="18"/>
              </w:rPr>
              <w:t xml:space="preserve">Leverage </w:t>
            </w:r>
          </w:p>
        </w:tc>
        <w:tc>
          <w:tcPr>
            <w:tcW w:w="7994" w:type="dxa"/>
            <w:shd w:val="clear" w:color="auto" w:fill="auto"/>
            <w:vAlign w:val="center"/>
          </w:tcPr>
          <w:p w:rsidR="005B61FE" w:rsidRPr="00C9239A" w:rsidRDefault="000F46FF" w:rsidP="001F0251">
            <w:pPr>
              <w:pStyle w:val="afa"/>
              <w:snapToGrid w:val="0"/>
              <w:jc w:val="both"/>
              <w:rPr>
                <w:rFonts w:eastAsiaTheme="minorEastAsia" w:cs="Times New Roman"/>
                <w:spacing w:val="2"/>
                <w:sz w:val="18"/>
                <w:lang w:eastAsia="zh-CN"/>
              </w:rPr>
            </w:pPr>
            <w:r>
              <w:rPr>
                <w:rFonts w:cs="Times New Roman"/>
                <w:spacing w:val="2"/>
                <w:sz w:val="18"/>
              </w:rPr>
              <w:t>Total long</w:t>
            </w:r>
            <w:r>
              <w:rPr>
                <w:rFonts w:eastAsiaTheme="minorEastAsia" w:cs="Times New Roman" w:hint="eastAsia"/>
                <w:spacing w:val="2"/>
                <w:sz w:val="18"/>
                <w:lang w:eastAsia="zh-CN"/>
              </w:rPr>
              <w:t>-</w:t>
            </w:r>
            <w:r>
              <w:rPr>
                <w:rFonts w:cs="Times New Roman"/>
                <w:spacing w:val="2"/>
                <w:sz w:val="18"/>
              </w:rPr>
              <w:t>term debt scaled by beginning</w:t>
            </w:r>
            <w:r>
              <w:rPr>
                <w:rFonts w:eastAsiaTheme="minorEastAsia" w:cs="Times New Roman" w:hint="eastAsia"/>
                <w:spacing w:val="2"/>
                <w:sz w:val="18"/>
                <w:lang w:eastAsia="zh-CN"/>
              </w:rPr>
              <w:t>-</w:t>
            </w:r>
            <w:r>
              <w:rPr>
                <w:rFonts w:cs="Times New Roman"/>
                <w:spacing w:val="2"/>
                <w:sz w:val="18"/>
              </w:rPr>
              <w:t>of</w:t>
            </w:r>
            <w:r>
              <w:rPr>
                <w:rFonts w:eastAsiaTheme="minorEastAsia" w:cs="Times New Roman" w:hint="eastAsia"/>
                <w:spacing w:val="2"/>
                <w:sz w:val="18"/>
                <w:lang w:eastAsia="zh-CN"/>
              </w:rPr>
              <w:t>-</w:t>
            </w:r>
            <w:r w:rsidR="005B61FE" w:rsidRPr="00C30A0C">
              <w:rPr>
                <w:rFonts w:cs="Times New Roman"/>
                <w:spacing w:val="2"/>
                <w:sz w:val="18"/>
              </w:rPr>
              <w:t>year total assets</w:t>
            </w:r>
          </w:p>
        </w:tc>
      </w:tr>
      <w:tr w:rsidR="005B61FE" w:rsidRPr="005B61FE" w:rsidTr="00C9239A">
        <w:trPr>
          <w:trHeight w:val="255"/>
          <w:jc w:val="center"/>
        </w:trPr>
        <w:tc>
          <w:tcPr>
            <w:tcW w:w="1418" w:type="dxa"/>
            <w:shd w:val="clear" w:color="auto" w:fill="auto"/>
            <w:vAlign w:val="center"/>
          </w:tcPr>
          <w:p w:rsidR="005B61FE" w:rsidRPr="000F46FF" w:rsidRDefault="000F46FF" w:rsidP="001F0251">
            <w:pPr>
              <w:pStyle w:val="afa"/>
              <w:snapToGrid w:val="0"/>
              <w:rPr>
                <w:bCs/>
                <w:i/>
                <w:sz w:val="18"/>
              </w:rPr>
            </w:pPr>
            <w:r>
              <w:rPr>
                <w:rFonts w:cs="Times New Roman"/>
                <w:i/>
                <w:spacing w:val="2"/>
                <w:sz w:val="18"/>
              </w:rPr>
              <w:t>Current</w:t>
            </w:r>
            <w:r>
              <w:rPr>
                <w:rFonts w:eastAsiaTheme="minorEastAsia" w:cs="Times New Roman" w:hint="eastAsia"/>
                <w:i/>
                <w:spacing w:val="2"/>
                <w:sz w:val="18"/>
                <w:lang w:eastAsia="zh-CN"/>
              </w:rPr>
              <w:t>_</w:t>
            </w:r>
            <w:r w:rsidR="005B61FE" w:rsidRPr="000F46FF">
              <w:rPr>
                <w:rFonts w:cs="Times New Roman"/>
                <w:i/>
                <w:spacing w:val="2"/>
                <w:sz w:val="18"/>
              </w:rPr>
              <w:t xml:space="preserve">rate </w:t>
            </w:r>
          </w:p>
        </w:tc>
        <w:tc>
          <w:tcPr>
            <w:tcW w:w="7994" w:type="dxa"/>
            <w:shd w:val="clear" w:color="auto" w:fill="auto"/>
            <w:vAlign w:val="center"/>
          </w:tcPr>
          <w:p w:rsidR="005B61FE" w:rsidRPr="00C9239A" w:rsidRDefault="000F46FF" w:rsidP="001F0251">
            <w:pPr>
              <w:pStyle w:val="afa"/>
              <w:snapToGrid w:val="0"/>
              <w:jc w:val="both"/>
              <w:rPr>
                <w:rFonts w:eastAsiaTheme="minorEastAsia" w:cs="Times New Roman"/>
                <w:spacing w:val="2"/>
                <w:sz w:val="18"/>
                <w:lang w:eastAsia="zh-CN"/>
              </w:rPr>
            </w:pPr>
            <w:r>
              <w:rPr>
                <w:rFonts w:eastAsiaTheme="minorEastAsia" w:cs="Times New Roman" w:hint="eastAsia"/>
                <w:spacing w:val="2"/>
                <w:sz w:val="18"/>
                <w:lang w:eastAsia="zh-CN"/>
              </w:rPr>
              <w:t>C</w:t>
            </w:r>
            <w:r w:rsidR="005B61FE" w:rsidRPr="00C30A0C">
              <w:rPr>
                <w:rFonts w:cs="Times New Roman"/>
                <w:spacing w:val="2"/>
                <w:sz w:val="18"/>
              </w:rPr>
              <w:t>urrent asset minus inventory scaled by current liability</w:t>
            </w:r>
          </w:p>
        </w:tc>
      </w:tr>
      <w:tr w:rsidR="005B61FE" w:rsidRPr="005B61FE" w:rsidTr="00C9239A">
        <w:trPr>
          <w:trHeight w:val="255"/>
          <w:jc w:val="center"/>
        </w:trPr>
        <w:tc>
          <w:tcPr>
            <w:tcW w:w="1418" w:type="dxa"/>
            <w:shd w:val="clear" w:color="auto" w:fill="auto"/>
            <w:vAlign w:val="center"/>
          </w:tcPr>
          <w:p w:rsidR="005B61FE" w:rsidRPr="000F46FF" w:rsidRDefault="005B61FE" w:rsidP="001F0251">
            <w:pPr>
              <w:pStyle w:val="afa"/>
              <w:snapToGrid w:val="0"/>
              <w:rPr>
                <w:bCs/>
                <w:i/>
                <w:sz w:val="18"/>
              </w:rPr>
            </w:pPr>
            <w:r w:rsidRPr="000F46FF">
              <w:rPr>
                <w:rFonts w:cs="Times New Roman"/>
                <w:i/>
                <w:spacing w:val="2"/>
                <w:sz w:val="18"/>
              </w:rPr>
              <w:t xml:space="preserve">Interestcoverage </w:t>
            </w:r>
          </w:p>
        </w:tc>
        <w:tc>
          <w:tcPr>
            <w:tcW w:w="7994" w:type="dxa"/>
            <w:shd w:val="clear" w:color="auto" w:fill="auto"/>
            <w:vAlign w:val="center"/>
          </w:tcPr>
          <w:p w:rsidR="005B61FE" w:rsidRPr="00C9239A" w:rsidRDefault="000F46FF" w:rsidP="001F0251">
            <w:pPr>
              <w:pStyle w:val="afa"/>
              <w:snapToGrid w:val="0"/>
              <w:jc w:val="both"/>
              <w:rPr>
                <w:rFonts w:eastAsiaTheme="minorEastAsia" w:cs="Times New Roman"/>
                <w:spacing w:val="2"/>
                <w:sz w:val="18"/>
                <w:lang w:eastAsia="zh-CN"/>
              </w:rPr>
            </w:pPr>
            <w:r w:rsidRPr="00C30A0C">
              <w:rPr>
                <w:rFonts w:cs="Times New Roman"/>
                <w:spacing w:val="2"/>
                <w:sz w:val="18"/>
              </w:rPr>
              <w:t>C</w:t>
            </w:r>
            <w:r w:rsidR="005B61FE" w:rsidRPr="00C30A0C">
              <w:rPr>
                <w:rFonts w:cs="Times New Roman"/>
                <w:spacing w:val="2"/>
                <w:sz w:val="18"/>
              </w:rPr>
              <w:t>ompany</w:t>
            </w:r>
            <w:r>
              <w:rPr>
                <w:rFonts w:eastAsiaTheme="minorEastAsia" w:cs="Times New Roman"/>
                <w:spacing w:val="2"/>
                <w:sz w:val="18"/>
                <w:lang w:eastAsia="zh-CN"/>
              </w:rPr>
              <w:t>’</w:t>
            </w:r>
            <w:r w:rsidR="005B61FE" w:rsidRPr="00C30A0C">
              <w:rPr>
                <w:rFonts w:cs="Times New Roman"/>
                <w:spacing w:val="2"/>
                <w:sz w:val="18"/>
              </w:rPr>
              <w:t>s earnings before interest and taxes (EBIT) of on</w:t>
            </w:r>
            <w:r>
              <w:rPr>
                <w:rFonts w:cs="Times New Roman"/>
                <w:spacing w:val="2"/>
                <w:sz w:val="18"/>
              </w:rPr>
              <w:t>e period divided by the company</w:t>
            </w:r>
            <w:r>
              <w:rPr>
                <w:rFonts w:eastAsiaTheme="minorEastAsia" w:cs="Times New Roman"/>
                <w:spacing w:val="2"/>
                <w:sz w:val="18"/>
                <w:lang w:eastAsia="zh-CN"/>
              </w:rPr>
              <w:t>’</w:t>
            </w:r>
            <w:r w:rsidR="005B61FE" w:rsidRPr="00C30A0C">
              <w:rPr>
                <w:rFonts w:cs="Times New Roman"/>
                <w:spacing w:val="2"/>
                <w:sz w:val="18"/>
              </w:rPr>
              <w:t>s interest expenses of the same period</w:t>
            </w:r>
          </w:p>
        </w:tc>
      </w:tr>
      <w:tr w:rsidR="005B61FE" w:rsidRPr="005B61FE" w:rsidTr="00C9239A">
        <w:trPr>
          <w:trHeight w:val="255"/>
          <w:jc w:val="center"/>
        </w:trPr>
        <w:tc>
          <w:tcPr>
            <w:tcW w:w="1418" w:type="dxa"/>
            <w:shd w:val="clear" w:color="auto" w:fill="auto"/>
            <w:vAlign w:val="center"/>
          </w:tcPr>
          <w:p w:rsidR="005B61FE" w:rsidRPr="000F46FF" w:rsidRDefault="005B61FE" w:rsidP="001F0251">
            <w:pPr>
              <w:pStyle w:val="afa"/>
              <w:snapToGrid w:val="0"/>
              <w:rPr>
                <w:rFonts w:eastAsiaTheme="minorEastAsia" w:cs="Times New Roman"/>
                <w:i/>
                <w:spacing w:val="2"/>
                <w:sz w:val="18"/>
                <w:lang w:eastAsia="zh-CN"/>
              </w:rPr>
            </w:pPr>
            <w:r w:rsidRPr="000F46FF">
              <w:rPr>
                <w:rFonts w:cs="Times New Roman"/>
                <w:i/>
                <w:spacing w:val="2"/>
                <w:sz w:val="18"/>
              </w:rPr>
              <w:t>Loss</w:t>
            </w:r>
            <w:r w:rsidRPr="000F46FF">
              <w:rPr>
                <w:rFonts w:cs="Times New Roman"/>
                <w:spacing w:val="2"/>
                <w:sz w:val="18"/>
              </w:rPr>
              <w:t>_</w:t>
            </w:r>
            <w:r w:rsidRPr="000F46FF">
              <w:rPr>
                <w:rFonts w:cs="Times New Roman"/>
                <w:i/>
                <w:spacing w:val="2"/>
                <w:sz w:val="18"/>
              </w:rPr>
              <w:t xml:space="preserve">dummy </w:t>
            </w:r>
          </w:p>
        </w:tc>
        <w:tc>
          <w:tcPr>
            <w:tcW w:w="7994" w:type="dxa"/>
            <w:shd w:val="clear" w:color="auto" w:fill="auto"/>
            <w:vAlign w:val="center"/>
          </w:tcPr>
          <w:p w:rsidR="005B61FE" w:rsidRPr="005B61FE" w:rsidRDefault="000F46FF" w:rsidP="001F0251">
            <w:pPr>
              <w:adjustRightInd w:val="0"/>
              <w:snapToGrid w:val="0"/>
              <w:ind w:firstLineChars="0" w:firstLine="0"/>
              <w:jc w:val="both"/>
              <w:rPr>
                <w:bCs/>
                <w:sz w:val="18"/>
              </w:rPr>
            </w:pPr>
            <w:r>
              <w:rPr>
                <w:rFonts w:hint="eastAsia"/>
                <w:spacing w:val="2"/>
                <w:sz w:val="18"/>
                <w:lang w:eastAsia="zh-CN"/>
              </w:rPr>
              <w:t>A</w:t>
            </w:r>
            <w:r w:rsidR="005B61FE" w:rsidRPr="00C30A0C">
              <w:rPr>
                <w:spacing w:val="2"/>
                <w:sz w:val="18"/>
              </w:rPr>
              <w:t>n indicator variable</w:t>
            </w:r>
            <w:r>
              <w:rPr>
                <w:rFonts w:hint="eastAsia"/>
                <w:spacing w:val="2"/>
                <w:sz w:val="18"/>
                <w:lang w:eastAsia="zh-CN"/>
              </w:rPr>
              <w:t xml:space="preserve"> which equals to</w:t>
            </w:r>
            <w:r w:rsidR="005B61FE" w:rsidRPr="00C30A0C">
              <w:rPr>
                <w:spacing w:val="2"/>
                <w:sz w:val="18"/>
              </w:rPr>
              <w:t xml:space="preserve"> 1 if net income at </w:t>
            </w:r>
            <w:r w:rsidR="005B61FE" w:rsidRPr="000F46FF">
              <w:rPr>
                <w:i/>
                <w:spacing w:val="2"/>
                <w:sz w:val="18"/>
              </w:rPr>
              <w:t xml:space="preserve">t </w:t>
            </w:r>
            <w:r w:rsidR="005B61FE" w:rsidRPr="00C30A0C">
              <w:rPr>
                <w:spacing w:val="2"/>
                <w:sz w:val="18"/>
              </w:rPr>
              <w:t>is negative</w:t>
            </w:r>
            <w:r>
              <w:rPr>
                <w:rFonts w:hint="eastAsia"/>
                <w:spacing w:val="2"/>
                <w:sz w:val="18"/>
                <w:lang w:eastAsia="zh-CN"/>
              </w:rPr>
              <w:t xml:space="preserve"> and</w:t>
            </w:r>
            <w:r w:rsidR="005B61FE" w:rsidRPr="00C30A0C">
              <w:rPr>
                <w:spacing w:val="2"/>
                <w:sz w:val="18"/>
              </w:rPr>
              <w:t xml:space="preserve"> 0 </w:t>
            </w:r>
            <w:r>
              <w:rPr>
                <w:rFonts w:hint="eastAsia"/>
                <w:spacing w:val="2"/>
                <w:sz w:val="18"/>
                <w:lang w:eastAsia="zh-CN"/>
              </w:rPr>
              <w:t xml:space="preserve">if </w:t>
            </w:r>
            <w:r w:rsidR="005B61FE" w:rsidRPr="00C30A0C">
              <w:rPr>
                <w:spacing w:val="2"/>
                <w:sz w:val="18"/>
              </w:rPr>
              <w:t>otherwise</w:t>
            </w:r>
          </w:p>
        </w:tc>
      </w:tr>
      <w:tr w:rsidR="005B61FE" w:rsidRPr="005B61FE" w:rsidTr="00C9239A">
        <w:trPr>
          <w:trHeight w:val="255"/>
          <w:jc w:val="center"/>
        </w:trPr>
        <w:tc>
          <w:tcPr>
            <w:tcW w:w="1418" w:type="dxa"/>
            <w:shd w:val="clear" w:color="auto" w:fill="auto"/>
            <w:vAlign w:val="center"/>
          </w:tcPr>
          <w:p w:rsidR="005B61FE" w:rsidRPr="000F46FF" w:rsidRDefault="000F46FF" w:rsidP="001F0251">
            <w:pPr>
              <w:pStyle w:val="afa"/>
              <w:snapToGrid w:val="0"/>
              <w:rPr>
                <w:rFonts w:eastAsiaTheme="minorEastAsia" w:cs="Times New Roman"/>
                <w:i/>
                <w:spacing w:val="2"/>
                <w:sz w:val="18"/>
                <w:lang w:eastAsia="zh-CN"/>
              </w:rPr>
            </w:pPr>
            <w:r>
              <w:rPr>
                <w:rFonts w:cs="Times New Roman"/>
                <w:i/>
                <w:spacing w:val="2"/>
                <w:sz w:val="18"/>
              </w:rPr>
              <w:t>TAX</w:t>
            </w:r>
          </w:p>
        </w:tc>
        <w:tc>
          <w:tcPr>
            <w:tcW w:w="7994" w:type="dxa"/>
            <w:shd w:val="clear" w:color="auto" w:fill="auto"/>
            <w:vAlign w:val="center"/>
          </w:tcPr>
          <w:p w:rsidR="005B61FE" w:rsidRPr="00C9239A" w:rsidRDefault="005B61FE" w:rsidP="001F0251">
            <w:pPr>
              <w:pStyle w:val="afa"/>
              <w:snapToGrid w:val="0"/>
              <w:jc w:val="both"/>
              <w:rPr>
                <w:rFonts w:eastAsiaTheme="minorEastAsia" w:cs="Times New Roman"/>
                <w:spacing w:val="2"/>
                <w:sz w:val="18"/>
                <w:lang w:eastAsia="zh-CN"/>
              </w:rPr>
            </w:pPr>
            <w:r w:rsidRPr="000F46FF">
              <w:rPr>
                <w:rFonts w:cs="Times New Roman"/>
                <w:i/>
                <w:spacing w:val="2"/>
                <w:sz w:val="18"/>
              </w:rPr>
              <w:t>ETR</w:t>
            </w:r>
            <w:r w:rsidRPr="00C30A0C">
              <w:rPr>
                <w:rFonts w:cs="Times New Roman"/>
                <w:spacing w:val="2"/>
                <w:sz w:val="18"/>
              </w:rPr>
              <w:t xml:space="preserve"> and </w:t>
            </w:r>
            <w:r w:rsidRPr="000F46FF">
              <w:rPr>
                <w:rFonts w:cs="Times New Roman"/>
                <w:i/>
                <w:spacing w:val="2"/>
                <w:sz w:val="18"/>
              </w:rPr>
              <w:t>Cash</w:t>
            </w:r>
            <w:r w:rsidRPr="00C30A0C">
              <w:rPr>
                <w:rFonts w:cs="Times New Roman"/>
                <w:spacing w:val="2"/>
                <w:sz w:val="18"/>
              </w:rPr>
              <w:t>_</w:t>
            </w:r>
            <w:r w:rsidRPr="000F46FF">
              <w:rPr>
                <w:rFonts w:cs="Times New Roman"/>
                <w:i/>
                <w:spacing w:val="2"/>
                <w:sz w:val="18"/>
              </w:rPr>
              <w:t>ETR</w:t>
            </w:r>
          </w:p>
        </w:tc>
      </w:tr>
      <w:tr w:rsidR="005B61FE" w:rsidRPr="005B61FE" w:rsidTr="00C9239A">
        <w:trPr>
          <w:trHeight w:val="255"/>
          <w:jc w:val="center"/>
        </w:trPr>
        <w:tc>
          <w:tcPr>
            <w:tcW w:w="1418" w:type="dxa"/>
            <w:shd w:val="clear" w:color="auto" w:fill="auto"/>
            <w:vAlign w:val="center"/>
          </w:tcPr>
          <w:p w:rsidR="005B61FE" w:rsidRPr="000F46FF" w:rsidRDefault="005B61FE" w:rsidP="001F0251">
            <w:pPr>
              <w:pStyle w:val="afa"/>
              <w:snapToGrid w:val="0"/>
              <w:rPr>
                <w:rFonts w:cs="Times New Roman"/>
                <w:i/>
                <w:spacing w:val="2"/>
                <w:sz w:val="18"/>
              </w:rPr>
            </w:pPr>
            <w:r w:rsidRPr="000F46FF">
              <w:rPr>
                <w:rFonts w:cs="Times New Roman"/>
                <w:i/>
                <w:spacing w:val="2"/>
                <w:sz w:val="18"/>
              </w:rPr>
              <w:t>ETR</w:t>
            </w:r>
          </w:p>
        </w:tc>
        <w:tc>
          <w:tcPr>
            <w:tcW w:w="7994" w:type="dxa"/>
            <w:shd w:val="clear" w:color="auto" w:fill="auto"/>
            <w:vAlign w:val="center"/>
          </w:tcPr>
          <w:p w:rsidR="005B61FE" w:rsidRPr="000F46FF" w:rsidRDefault="005B61FE" w:rsidP="001F0251">
            <w:pPr>
              <w:pStyle w:val="afa"/>
              <w:snapToGrid w:val="0"/>
              <w:jc w:val="both"/>
              <w:rPr>
                <w:rFonts w:eastAsiaTheme="minorEastAsia" w:cs="Times New Roman"/>
                <w:spacing w:val="2"/>
                <w:sz w:val="18"/>
                <w:lang w:eastAsia="zh-CN"/>
              </w:rPr>
            </w:pPr>
            <w:r w:rsidRPr="00C30A0C">
              <w:rPr>
                <w:rFonts w:cs="Times New Roman"/>
                <w:spacing w:val="2"/>
                <w:sz w:val="18"/>
              </w:rPr>
              <w:t>Effective tax rate, defined as total tax expense divided by pre-tax book</w:t>
            </w:r>
            <w:r w:rsidR="000F46FF">
              <w:rPr>
                <w:rFonts w:eastAsiaTheme="minorEastAsia" w:cs="Times New Roman" w:hint="eastAsia"/>
                <w:spacing w:val="2"/>
                <w:sz w:val="18"/>
                <w:lang w:eastAsia="zh-CN"/>
              </w:rPr>
              <w:t xml:space="preserve"> </w:t>
            </w:r>
            <w:r w:rsidRPr="00C30A0C">
              <w:rPr>
                <w:rFonts w:cs="Times New Roman"/>
                <w:spacing w:val="2"/>
                <w:sz w:val="18"/>
              </w:rPr>
              <w:t>income less special items</w:t>
            </w:r>
          </w:p>
        </w:tc>
      </w:tr>
      <w:tr w:rsidR="005B61FE" w:rsidRPr="005B61FE" w:rsidTr="00C9239A">
        <w:trPr>
          <w:trHeight w:val="255"/>
          <w:jc w:val="center"/>
        </w:trPr>
        <w:tc>
          <w:tcPr>
            <w:tcW w:w="1418" w:type="dxa"/>
            <w:shd w:val="clear" w:color="auto" w:fill="auto"/>
            <w:vAlign w:val="center"/>
          </w:tcPr>
          <w:p w:rsidR="005B61FE" w:rsidRPr="000F46FF" w:rsidRDefault="000F46FF" w:rsidP="001F0251">
            <w:pPr>
              <w:pStyle w:val="afa"/>
              <w:snapToGrid w:val="0"/>
              <w:rPr>
                <w:rFonts w:eastAsiaTheme="minorEastAsia" w:cs="Times New Roman"/>
                <w:i/>
                <w:spacing w:val="2"/>
                <w:sz w:val="18"/>
                <w:lang w:eastAsia="zh-CN"/>
              </w:rPr>
            </w:pPr>
            <w:r>
              <w:rPr>
                <w:rFonts w:cs="Times New Roman"/>
                <w:i/>
                <w:spacing w:val="2"/>
                <w:sz w:val="18"/>
              </w:rPr>
              <w:t>Cash</w:t>
            </w:r>
            <w:r w:rsidRPr="000F46FF">
              <w:rPr>
                <w:rFonts w:cs="Times New Roman"/>
                <w:spacing w:val="2"/>
                <w:sz w:val="18"/>
              </w:rPr>
              <w:t>_</w:t>
            </w:r>
            <w:r>
              <w:rPr>
                <w:rFonts w:cs="Times New Roman"/>
                <w:i/>
                <w:spacing w:val="2"/>
                <w:sz w:val="18"/>
              </w:rPr>
              <w:t>ETR</w:t>
            </w:r>
          </w:p>
        </w:tc>
        <w:tc>
          <w:tcPr>
            <w:tcW w:w="7994" w:type="dxa"/>
            <w:shd w:val="clear" w:color="auto" w:fill="auto"/>
            <w:vAlign w:val="center"/>
          </w:tcPr>
          <w:p w:rsidR="005B61FE" w:rsidRPr="000F46FF" w:rsidRDefault="005B61FE" w:rsidP="001F0251">
            <w:pPr>
              <w:pStyle w:val="afa"/>
              <w:snapToGrid w:val="0"/>
              <w:jc w:val="both"/>
              <w:rPr>
                <w:rFonts w:eastAsiaTheme="minorEastAsia" w:cs="Times New Roman"/>
                <w:spacing w:val="2"/>
                <w:sz w:val="18"/>
                <w:lang w:eastAsia="zh-CN"/>
              </w:rPr>
            </w:pPr>
            <w:r w:rsidRPr="00C30A0C">
              <w:rPr>
                <w:rFonts w:cs="Times New Roman"/>
                <w:spacing w:val="2"/>
                <w:sz w:val="18"/>
              </w:rPr>
              <w:t>Cash effective rate, defined as cash taxes paid divided by pre-tax book</w:t>
            </w:r>
            <w:r w:rsidR="000F46FF">
              <w:rPr>
                <w:rFonts w:eastAsiaTheme="minorEastAsia" w:cs="Times New Roman" w:hint="eastAsia"/>
                <w:spacing w:val="2"/>
                <w:sz w:val="18"/>
                <w:lang w:eastAsia="zh-CN"/>
              </w:rPr>
              <w:t xml:space="preserve"> </w:t>
            </w:r>
            <w:r w:rsidRPr="00C30A0C">
              <w:rPr>
                <w:rFonts w:cs="Times New Roman"/>
                <w:spacing w:val="2"/>
                <w:sz w:val="18"/>
              </w:rPr>
              <w:t>income less special items</w:t>
            </w:r>
          </w:p>
        </w:tc>
      </w:tr>
    </w:tbl>
    <w:p w:rsidR="005B61FE" w:rsidRPr="00C30A0C" w:rsidRDefault="005B61FE" w:rsidP="00CF5F25">
      <w:pPr>
        <w:spacing w:beforeLines="50" w:afterLines="30"/>
        <w:ind w:firstLineChars="0" w:firstLine="0"/>
        <w:rPr>
          <w:b/>
          <w:bCs/>
          <w:sz w:val="18"/>
        </w:rPr>
      </w:pPr>
    </w:p>
    <w:sectPr w:rsidR="005B61FE" w:rsidRPr="00C30A0C" w:rsidSect="003D273F">
      <w:headerReference w:type="first" r:id="rId36"/>
      <w:pgSz w:w="11907" w:h="16160" w:code="9"/>
      <w:pgMar w:top="1701" w:right="1247" w:bottom="1701" w:left="1247" w:header="1134" w:footer="1134" w:gutter="0"/>
      <w:pgNumType w:start="23"/>
      <w:cols w:space="720"/>
      <w:noEndnote/>
      <w:titlePg/>
      <w:docGrid w:type="lines" w:linePitch="312" w:charSpace="860"/>
    </w:sectPr>
  </w:body>
</w:document>
</file>

<file path=word/customizations.xml><?xml version="1.0" encoding="utf-8"?>
<wne:tcg xmlns:r="http://schemas.openxmlformats.org/officeDocument/2006/relationships" xmlns:wne="http://schemas.microsoft.com/office/word/2006/wordml">
  <wne:keymaps>
    <wne:keymap wne:kcmPrimary="0441">
      <wne:acd wne:acdName="acd8"/>
    </wne:keymap>
    <wne:keymap wne:kcmPrimary="0442">
      <wne:acd wne:acdName="acd5"/>
    </wne:keymap>
    <wne:keymap wne:kcmPrimary="0443">
      <wne:acd wne:acdName="acd6"/>
    </wne:keymap>
    <wne:keymap wne:kcmPrimary="0444">
      <wne:acd wne:acdName="acd17"/>
    </wne:keymap>
    <wne:keymap wne:kcmPrimary="0445">
      <wne:acd wne:acdName="acd15"/>
    </wne:keymap>
    <wne:keymap wne:kcmPrimary="0446">
      <wne:acd wne:acdName="acd12"/>
    </wne:keymap>
    <wne:keymap wne:kcmPrimary="044A">
      <wne:acd wne:acdName="acd14"/>
    </wne:keymap>
    <wne:keymap wne:kcmPrimary="044D">
      <wne:acd wne:acdName="acd3"/>
    </wne:keymap>
    <wne:keymap wne:kcmPrimary="044E">
      <wne:acd wne:acdName="acd4"/>
    </wne:keymap>
    <wne:keymap wne:kcmPrimary="0451">
      <wne:acd wne:acdName="acd13"/>
    </wne:keymap>
    <wne:keymap wne:kcmPrimary="0453">
      <wne:acd wne:acdName="acd11"/>
    </wne:keymap>
    <wne:keymap wne:kcmPrimary="0456">
      <wne:acd wne:acdName="acd9"/>
    </wne:keymap>
    <wne:keymap wne:kcmPrimary="0458">
      <wne:acd wne:acdName="acd10"/>
    </wne:keymap>
    <wne:keymap wne:kcmPrimary="045A">
      <wne:acd wne:acdName="acd7"/>
    </wne:keymap>
    <wne:keymap wne:kcmPrimary="04BC">
      <wne:acd wne:acdName="acd2"/>
    </wne:keymap>
    <wne:keymap wne:kcmPrimary="04BE">
      <wne:acd wne:acdName="acd1"/>
    </wne:keymap>
    <wne:keymap wne:kcmPrimary="04BF">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rgValue="AgAyADAAMQAxAAdomJgtADEA" wne:acdName="acd0" wne:fciIndexBasedOn="0065"/>
    <wne:acd wne:argValue="AgAyADAAMQAxAFxPBYAtADEA" wne:acdName="acd1" wne:fciIndexBasedOn="0065"/>
    <wne:acd wne:argValue="AgAyADAAMQAxAFxPBYAtADIA" wne:acdName="acd2" wne:fciIndexBasedOn="0065"/>
    <wne:acd wne:argValue="AgAyADAAMQAxAFhkgYktADEA" wne:acdName="acd3" wne:fciIndexBasedOn="0065"/>
    <wne:acd wne:argValue="AgAyADAAMQAxAHNRLpXNiy0AMQA=" wne:acdName="acd4" wne:fciIndexBasedOn="0065"/>
    <wne:acd wne:argValue="AgAyADAAMQAxAAdoLQAxAA==" wne:acdName="acd5" wne:fciIndexBasedOn="0065"/>
    <wne:acd wne:argValue="AgAyADAAMQAxAGNrh2UtADEA" wne:acdName="acd6" wne:fciIndexBasedOn="0065"/>
    <wne:acd wne:argValue="AgAyADAAMQAxAMJTA4CHZS5zLQAxAA==" wne:acdName="acd7" wne:fciIndexBasedOn="0065"/>
    <wne:acd wne:argValue="AgAagehsLQAxAA==" wne:acdName="acd8" wne:fciIndexBasedOn="0065"/>
    <wne:acd wne:argValue="AQAAAAIA" wne:acdName="acd9" wne:fciIndexBasedOn="0065"/>
    <wne:acd wne:argValue="AgAyADAAMQAxAEYAaQBnAC0AMQA=" wne:acdName="acd10" wne:fciIndexBasedOn="0065"/>
    <wne:acd wne:argValue="AgAyADAAMQAxAP5WR3ItADEA" wne:acdName="acd11" wne:fciIndexBasedOn="0065"/>
    <wne:acd wne:argValue="AgAyADAAMQAxAA9cenpMiC0AMQA=" wne:acdName="acd12" wne:fciIndexBasedOn="0065"/>
    <wne:acd wne:argValue="AgAyADAAMQAxAOhsypEtADEA" wne:acdName="acd13" wne:fciIndexBasedOn="0065"/>
    <wne:acd wne:argValue="AgAyADAAMQAxAGxRD18tADEA" wne:acdName="acd14" wne:fciIndexBasedOn="0065"/>
    <wne:acd wne:argValue="AgAyADAAMQAxABVfh2UtADEA" wne:acdName="acd15" wne:fciIndexBasedOn="0065"/>
    <wne:acd wne:acdName="acd16" wne:fciIndexBasedOn="0065"/>
    <wne:acd wne:argValue="AgA3aA9fMQA=" wne:acdName="acd17"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FF5" w:rsidRDefault="00DE0FF5" w:rsidP="00EF31BA">
      <w:pPr>
        <w:ind w:left="360" w:right="360" w:firstLine="420"/>
      </w:pPr>
      <w:r>
        <w:separator/>
      </w:r>
    </w:p>
    <w:p w:rsidR="00DE0FF5" w:rsidRDefault="00DE0FF5" w:rsidP="00EF31BA">
      <w:pPr>
        <w:ind w:left="360" w:right="360" w:firstLine="420"/>
      </w:pPr>
    </w:p>
    <w:p w:rsidR="00DE0FF5" w:rsidRDefault="00DE0FF5" w:rsidP="00EF31BA">
      <w:pPr>
        <w:ind w:left="360" w:right="360" w:firstLine="420"/>
      </w:pPr>
    </w:p>
  </w:endnote>
  <w:endnote w:type="continuationSeparator" w:id="1">
    <w:p w:rsidR="00DE0FF5" w:rsidRDefault="00DE0FF5" w:rsidP="00EF31BA">
      <w:pPr>
        <w:ind w:left="360" w:right="360" w:firstLine="420"/>
      </w:pPr>
      <w:r>
        <w:continuationSeparator/>
      </w:r>
    </w:p>
    <w:p w:rsidR="00DE0FF5" w:rsidRDefault="00DE0FF5" w:rsidP="00EF31BA">
      <w:pPr>
        <w:ind w:left="360" w:right="360" w:firstLine="420"/>
      </w:pPr>
    </w:p>
    <w:p w:rsidR="00DE0FF5" w:rsidRDefault="00DE0FF5" w:rsidP="00EF31BA">
      <w:pPr>
        <w:ind w:left="360" w:right="360" w:firstLine="42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Ethnocentric">
    <w:altName w:val="Courier New"/>
    <w:panose1 w:val="00000400000000000000"/>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A00002BF" w:usb1="68C7FCFB" w:usb2="00000010" w:usb3="00000000" w:csb0="0002009F" w:csb1="00000000"/>
  </w:font>
  <w:font w:name="MS PGothic">
    <w:panose1 w:val="020B0600070205080204"/>
    <w:charset w:val="80"/>
    <w:family w:val="swiss"/>
    <w:pitch w:val="variable"/>
    <w:sig w:usb0="A00002BF" w:usb1="68C7FCFB" w:usb2="00000010" w:usb3="00000000" w:csb0="0002009F" w:csb1="00000000"/>
  </w:font>
  <w:font w:name="Ryumin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44E" w:rsidRDefault="0026344E" w:rsidP="00EF31BA">
    <w:pPr>
      <w:pStyle w:val="a4"/>
      <w:ind w:left="360"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44E" w:rsidRDefault="0026344E" w:rsidP="00EF31BA">
    <w:pPr>
      <w:pStyle w:val="a4"/>
      <w:ind w:left="360"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44E" w:rsidRDefault="0026344E" w:rsidP="00EF31BA">
    <w:pPr>
      <w:pStyle w:val="a4"/>
      <w:ind w:left="360"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FF5" w:rsidRDefault="00DE0FF5" w:rsidP="00EF31BA">
      <w:pPr>
        <w:ind w:right="360" w:firstLineChars="0" w:firstLine="0"/>
      </w:pPr>
      <w:r>
        <w:separator/>
      </w:r>
    </w:p>
  </w:footnote>
  <w:footnote w:type="continuationSeparator" w:id="1">
    <w:p w:rsidR="00DE0FF5" w:rsidRDefault="00DE0FF5" w:rsidP="00EF31BA">
      <w:pPr>
        <w:ind w:left="360" w:right="360" w:firstLine="420"/>
      </w:pPr>
      <w:r>
        <w:continuationSeparator/>
      </w:r>
    </w:p>
    <w:p w:rsidR="00DE0FF5" w:rsidRDefault="00DE0FF5" w:rsidP="00EF31BA">
      <w:pPr>
        <w:ind w:left="360" w:right="360" w:firstLine="420"/>
      </w:pPr>
    </w:p>
    <w:p w:rsidR="00DE0FF5" w:rsidRDefault="00DE0FF5" w:rsidP="00EF31BA">
      <w:pPr>
        <w:ind w:left="360" w:right="360" w:firstLine="420"/>
      </w:pPr>
    </w:p>
  </w:footnote>
  <w:footnote w:id="2">
    <w:p w:rsidR="0026344E" w:rsidRPr="00A701F7" w:rsidRDefault="0026344E" w:rsidP="00A701F7">
      <w:pPr>
        <w:adjustRightInd w:val="0"/>
        <w:snapToGrid w:val="0"/>
        <w:ind w:firstLineChars="0" w:firstLine="0"/>
        <w:rPr>
          <w:rFonts w:eastAsiaTheme="minorEastAsia"/>
          <w:sz w:val="18"/>
          <w:szCs w:val="18"/>
        </w:rPr>
      </w:pPr>
      <w:r w:rsidRPr="00A701F7">
        <w:rPr>
          <w:rStyle w:val="a7"/>
          <w:sz w:val="18"/>
          <w:szCs w:val="18"/>
        </w:rPr>
        <w:sym w:font="Symbol" w:char="F02A"/>
      </w:r>
      <w:r w:rsidRPr="00A701F7">
        <w:rPr>
          <w:rStyle w:val="a7"/>
          <w:rFonts w:eastAsiaTheme="minorEastAsia" w:hint="eastAsia"/>
          <w:sz w:val="18"/>
          <w:szCs w:val="18"/>
        </w:rPr>
        <w:t xml:space="preserve"> </w:t>
      </w:r>
      <w:r w:rsidRPr="00A701F7">
        <w:rPr>
          <w:b/>
          <w:sz w:val="18"/>
          <w:szCs w:val="18"/>
        </w:rPr>
        <w:t>Acknowledgment</w:t>
      </w:r>
      <w:r w:rsidRPr="00A701F7">
        <w:rPr>
          <w:rFonts w:hint="eastAsia"/>
          <w:sz w:val="18"/>
          <w:szCs w:val="18"/>
        </w:rPr>
        <w:t xml:space="preserve">: Ohnuma and Kato would like to thank </w:t>
      </w:r>
      <w:r w:rsidRPr="00A701F7">
        <w:rPr>
          <w:sz w:val="18"/>
          <w:szCs w:val="18"/>
        </w:rPr>
        <w:t xml:space="preserve">financial support from the Japanese Society for the Promotion of Science, Grant-in-Aid for Scientific Research (C) </w:t>
      </w:r>
      <w:r w:rsidRPr="00A701F7">
        <w:rPr>
          <w:rFonts w:hint="eastAsia"/>
          <w:sz w:val="18"/>
          <w:szCs w:val="18"/>
        </w:rPr>
        <w:t>22530494.</w:t>
      </w:r>
      <w:r w:rsidRPr="00A701F7">
        <w:rPr>
          <w:rFonts w:eastAsiaTheme="minorEastAsia" w:hint="eastAsia"/>
          <w:sz w:val="18"/>
          <w:szCs w:val="18"/>
        </w:rPr>
        <w:t xml:space="preserve"> </w:t>
      </w:r>
    </w:p>
  </w:footnote>
  <w:footnote w:id="3">
    <w:p w:rsidR="0026344E" w:rsidRDefault="0026344E" w:rsidP="00A701F7">
      <w:pPr>
        <w:adjustRightInd w:val="0"/>
        <w:snapToGrid w:val="0"/>
        <w:ind w:firstLineChars="100" w:firstLine="180"/>
        <w:rPr>
          <w:sz w:val="18"/>
        </w:rPr>
      </w:pPr>
      <w:r>
        <w:rPr>
          <w:rFonts w:hint="eastAsia"/>
          <w:sz w:val="18"/>
        </w:rPr>
        <w:t xml:space="preserve">Hiroshi Ohnuma, associate professor, School of </w:t>
      </w:r>
      <w:r>
        <w:rPr>
          <w:sz w:val="18"/>
        </w:rPr>
        <w:t>Management</w:t>
      </w:r>
      <w:r>
        <w:rPr>
          <w:rFonts w:hint="eastAsia"/>
          <w:sz w:val="18"/>
        </w:rPr>
        <w:t xml:space="preserve">, Tokyo University of Science. Email: </w:t>
      </w:r>
      <w:r w:rsidRPr="00FD3DF3">
        <w:rPr>
          <w:sz w:val="18"/>
        </w:rPr>
        <w:t>hiroshi_onuma@rs.tus.ac.jp</w:t>
      </w:r>
      <w:r>
        <w:rPr>
          <w:rFonts w:hint="eastAsia"/>
          <w:sz w:val="18"/>
        </w:rPr>
        <w:t>.</w:t>
      </w:r>
    </w:p>
    <w:p w:rsidR="0026344E" w:rsidRPr="00A701F7" w:rsidRDefault="0026344E" w:rsidP="00A701F7">
      <w:pPr>
        <w:adjustRightInd w:val="0"/>
        <w:snapToGrid w:val="0"/>
        <w:ind w:firstLineChars="100" w:firstLine="180"/>
        <w:rPr>
          <w:rFonts w:eastAsiaTheme="minorEastAsia"/>
        </w:rPr>
      </w:pPr>
      <w:r>
        <w:rPr>
          <w:rFonts w:hint="eastAsia"/>
          <w:sz w:val="18"/>
        </w:rPr>
        <w:t>Keikichi Kato, professor, Faculty of Humanities, Hirosaki University.</w:t>
      </w:r>
      <w:r w:rsidRPr="00A701F7">
        <w:rPr>
          <w:rFonts w:eastAsiaTheme="minorEastAsia" w:hint="eastAsia"/>
        </w:rPr>
        <w:t xml:space="preserve"> </w:t>
      </w:r>
    </w:p>
  </w:footnote>
  <w:footnote w:id="4">
    <w:p w:rsidR="0026344E" w:rsidRPr="00F9069F" w:rsidRDefault="0026344E" w:rsidP="00A701F7">
      <w:pPr>
        <w:adjustRightInd w:val="0"/>
        <w:snapToGrid w:val="0"/>
        <w:ind w:firstLineChars="0" w:firstLine="0"/>
        <w:rPr>
          <w:sz w:val="18"/>
        </w:rPr>
      </w:pPr>
      <w:r w:rsidRPr="00A701F7">
        <w:rPr>
          <w:sz w:val="18"/>
          <w:vertAlign w:val="superscript"/>
        </w:rPr>
        <w:footnoteRef/>
      </w:r>
      <w:r w:rsidRPr="00A701F7">
        <w:rPr>
          <w:rFonts w:hint="eastAsia"/>
          <w:sz w:val="18"/>
          <w:vertAlign w:val="superscript"/>
        </w:rPr>
        <w:t xml:space="preserve"> </w:t>
      </w:r>
      <w:r w:rsidRPr="00F9069F">
        <w:rPr>
          <w:sz w:val="18"/>
        </w:rPr>
        <w:t xml:space="preserve">A similar result </w:t>
      </w:r>
      <w:r w:rsidRPr="00F9069F">
        <w:rPr>
          <w:rFonts w:hint="eastAsia"/>
          <w:sz w:val="18"/>
        </w:rPr>
        <w:t xml:space="preserve">holds for </w:t>
      </w:r>
      <w:r w:rsidRPr="00F9069F">
        <w:rPr>
          <w:sz w:val="18"/>
        </w:rPr>
        <w:t xml:space="preserve">the 2000s </w:t>
      </w:r>
      <w:r>
        <w:rPr>
          <w:rFonts w:hint="eastAsia"/>
          <w:sz w:val="18"/>
        </w:rPr>
        <w:t xml:space="preserve">since </w:t>
      </w:r>
      <w:r>
        <w:rPr>
          <w:sz w:val="18"/>
        </w:rPr>
        <w:t>Tang (1992) and</w:t>
      </w:r>
      <w:r>
        <w:rPr>
          <w:rFonts w:hint="eastAsia"/>
          <w:sz w:val="18"/>
        </w:rPr>
        <w:t xml:space="preserve"> </w:t>
      </w:r>
      <w:r w:rsidRPr="00F9069F">
        <w:rPr>
          <w:rFonts w:hint="eastAsia"/>
          <w:sz w:val="18"/>
        </w:rPr>
        <w:t>Lee</w:t>
      </w:r>
      <w:r w:rsidRPr="00F9069F">
        <w:rPr>
          <w:sz w:val="18"/>
        </w:rPr>
        <w:t xml:space="preserve"> and Joso (2009).</w:t>
      </w:r>
    </w:p>
  </w:footnote>
  <w:footnote w:id="5">
    <w:p w:rsidR="0026344E" w:rsidRPr="006A5150" w:rsidRDefault="0026344E" w:rsidP="00A701F7">
      <w:pPr>
        <w:pStyle w:val="aa"/>
        <w:adjustRightInd w:val="0"/>
        <w:jc w:val="both"/>
        <w:rPr>
          <w:rFonts w:ascii="Times New Roman" w:hAnsi="Times New Roman"/>
        </w:rPr>
      </w:pPr>
      <w:r w:rsidRPr="006A5150">
        <w:rPr>
          <w:rStyle w:val="a7"/>
          <w:rFonts w:ascii="Times New Roman" w:hAnsi="Times New Roman"/>
        </w:rPr>
        <w:footnoteRef/>
      </w:r>
      <w:r w:rsidRPr="006A5150">
        <w:rPr>
          <w:rFonts w:ascii="Times New Roman" w:hAnsi="Times New Roman"/>
        </w:rPr>
        <w:t xml:space="preserve"> APA is an administrative approach that attempts to prevent </w:t>
      </w:r>
      <w:r>
        <w:rPr>
          <w:rFonts w:ascii="Times New Roman" w:eastAsiaTheme="minorEastAsia" w:hAnsi="Times New Roman" w:hint="eastAsia"/>
        </w:rPr>
        <w:t>TP</w:t>
      </w:r>
      <w:r w:rsidRPr="006A5150">
        <w:rPr>
          <w:rFonts w:ascii="Times New Roman" w:hAnsi="Times New Roman"/>
        </w:rPr>
        <w:t xml:space="preserve"> disputes from arising by determinin</w:t>
      </w:r>
      <w:r>
        <w:rPr>
          <w:rFonts w:ascii="Times New Roman" w:hAnsi="Times New Roman"/>
        </w:rPr>
        <w:t>g criteria for applying the arm</w:t>
      </w:r>
      <w:r>
        <w:rPr>
          <w:rFonts w:ascii="Times New Roman" w:eastAsiaTheme="minorEastAsia" w:hAnsi="Times New Roman"/>
        </w:rPr>
        <w:t>’</w:t>
      </w:r>
      <w:r w:rsidRPr="006A5150">
        <w:rPr>
          <w:rFonts w:ascii="Times New Roman" w:hAnsi="Times New Roman"/>
        </w:rPr>
        <w:t>s length principle to transactions in advance of</w:t>
      </w:r>
      <w:r>
        <w:rPr>
          <w:rFonts w:ascii="Times New Roman" w:eastAsiaTheme="minorEastAsia" w:hAnsi="Times New Roman" w:hint="eastAsia"/>
        </w:rPr>
        <w:t xml:space="preserve"> the</w:t>
      </w:r>
      <w:r w:rsidRPr="00812548">
        <w:rPr>
          <w:rFonts w:ascii="Times New Roman" w:hAnsi="Times New Roman"/>
        </w:rPr>
        <w:t xml:space="preserve"> </w:t>
      </w:r>
      <w:r w:rsidRPr="006A5150">
        <w:rPr>
          <w:rFonts w:ascii="Times New Roman" w:hAnsi="Times New Roman"/>
        </w:rPr>
        <w:t>occurrence</w:t>
      </w:r>
      <w:r>
        <w:rPr>
          <w:rFonts w:ascii="Times New Roman" w:eastAsiaTheme="minorEastAsia" w:hAnsi="Times New Roman" w:hint="eastAsia"/>
        </w:rPr>
        <w:t>s of</w:t>
      </w:r>
      <w:r w:rsidRPr="006A5150">
        <w:rPr>
          <w:rFonts w:ascii="Times New Roman" w:hAnsi="Times New Roman"/>
        </w:rPr>
        <w:t xml:space="preserve"> those transactions.</w:t>
      </w:r>
    </w:p>
  </w:footnote>
  <w:footnote w:id="6">
    <w:p w:rsidR="0026344E" w:rsidRPr="006A5150" w:rsidRDefault="0026344E" w:rsidP="00A701F7">
      <w:pPr>
        <w:pStyle w:val="aa"/>
        <w:adjustRightInd w:val="0"/>
        <w:jc w:val="both"/>
        <w:rPr>
          <w:rFonts w:ascii="Times New Roman" w:hAnsi="Times New Roman"/>
        </w:rPr>
      </w:pPr>
      <w:r w:rsidRPr="006A5150">
        <w:rPr>
          <w:rStyle w:val="a7"/>
          <w:rFonts w:ascii="Times New Roman" w:hAnsi="Times New Roman"/>
        </w:rPr>
        <w:footnoteRef/>
      </w:r>
      <w:r w:rsidRPr="006A5150">
        <w:rPr>
          <w:rFonts w:ascii="Times New Roman" w:hAnsi="Times New Roman"/>
        </w:rPr>
        <w:t xml:space="preserve"> The </w:t>
      </w:r>
      <w:r>
        <w:rPr>
          <w:rFonts w:ascii="Times New Roman" w:eastAsiaTheme="minorEastAsia" w:hAnsi="Times New Roman" w:hint="eastAsia"/>
        </w:rPr>
        <w:t>MAP</w:t>
      </w:r>
      <w:r w:rsidRPr="006A5150">
        <w:rPr>
          <w:rFonts w:ascii="Times New Roman" w:hAnsi="Times New Roman"/>
        </w:rPr>
        <w:t xml:space="preserve"> serves to prevent taxation which is not in accordance with </w:t>
      </w:r>
      <w:r>
        <w:rPr>
          <w:rFonts w:ascii="Times New Roman" w:eastAsiaTheme="minorEastAsia" w:hAnsi="Times New Roman" w:hint="eastAsia"/>
        </w:rPr>
        <w:t>the</w:t>
      </w:r>
      <w:r w:rsidRPr="006A5150">
        <w:rPr>
          <w:rFonts w:ascii="Times New Roman" w:hAnsi="Times New Roman"/>
        </w:rPr>
        <w:t xml:space="preserve"> Double Taxation Agreement through actions by the contracting countries.</w:t>
      </w:r>
    </w:p>
  </w:footnote>
  <w:footnote w:id="7">
    <w:p w:rsidR="0026344E" w:rsidRPr="006A5150" w:rsidRDefault="0026344E" w:rsidP="00D776D4">
      <w:pPr>
        <w:pStyle w:val="aa"/>
        <w:adjustRightInd w:val="0"/>
        <w:jc w:val="both"/>
        <w:rPr>
          <w:rFonts w:ascii="Times New Roman" w:hAnsi="Times New Roman"/>
        </w:rPr>
      </w:pPr>
      <w:r w:rsidRPr="006A5150">
        <w:rPr>
          <w:rStyle w:val="a7"/>
          <w:rFonts w:ascii="Times New Roman" w:hAnsi="Times New Roman"/>
        </w:rPr>
        <w:footnoteRef/>
      </w:r>
      <w:r w:rsidRPr="006A5150">
        <w:rPr>
          <w:rFonts w:ascii="Times New Roman" w:hAnsi="Times New Roman"/>
        </w:rPr>
        <w:t xml:space="preserve"> TNMM is a method for calculating TP in comparison with the comparison company from the operating profit ratio and the mark-up rate for total cost.</w:t>
      </w:r>
    </w:p>
  </w:footnote>
  <w:footnote w:id="8">
    <w:p w:rsidR="0026344E" w:rsidRPr="006A5150" w:rsidRDefault="0026344E" w:rsidP="00A701F7">
      <w:pPr>
        <w:pStyle w:val="aa"/>
        <w:adjustRightInd w:val="0"/>
        <w:jc w:val="both"/>
        <w:rPr>
          <w:rFonts w:ascii="Times New Roman" w:hAnsi="Times New Roman"/>
        </w:rPr>
      </w:pPr>
      <w:r w:rsidRPr="006A5150">
        <w:rPr>
          <w:rStyle w:val="a7"/>
          <w:rFonts w:ascii="Times New Roman" w:hAnsi="Times New Roman"/>
        </w:rPr>
        <w:footnoteRef/>
      </w:r>
      <w:r w:rsidRPr="006A5150">
        <w:rPr>
          <w:rFonts w:ascii="Times New Roman" w:hAnsi="Times New Roman"/>
        </w:rPr>
        <w:t xml:space="preserve"> Rent extraction means the action of monopolizing profit by means of possessing information. In this case, even if a manager monopolizes profit based on a complicated tax avoidance method, it is difficult for the details to be known to a stockholder and, as a</w:t>
      </w:r>
      <w:r>
        <w:rPr>
          <w:rFonts w:ascii="Times New Roman" w:hAnsi="Times New Roman"/>
        </w:rPr>
        <w:t xml:space="preserve"> result, will raise agency cost</w:t>
      </w:r>
      <w:r w:rsidRPr="006A5150">
        <w:rPr>
          <w:rFonts w:ascii="Times New Roman" w:hAnsi="Times New Roman"/>
        </w:rPr>
        <w:t xml:space="preserve"> </w:t>
      </w:r>
      <w:r>
        <w:rPr>
          <w:rFonts w:ascii="Times New Roman" w:eastAsiaTheme="minorEastAsia" w:hAnsi="Times New Roman" w:hint="eastAsia"/>
        </w:rPr>
        <w:t>(s</w:t>
      </w:r>
      <w:r>
        <w:rPr>
          <w:rFonts w:ascii="Times New Roman" w:hAnsi="Times New Roman"/>
        </w:rPr>
        <w:t xml:space="preserve">ee </w:t>
      </w:r>
      <w:r>
        <w:rPr>
          <w:rFonts w:ascii="Times New Roman" w:eastAsiaTheme="minorEastAsia" w:hAnsi="Times New Roman" w:hint="eastAsia"/>
        </w:rPr>
        <w:t xml:space="preserve">S. </w:t>
      </w:r>
      <w:r>
        <w:rPr>
          <w:rFonts w:ascii="Times New Roman" w:hAnsi="Times New Roman"/>
        </w:rPr>
        <w:t>Chen</w:t>
      </w:r>
      <w:r>
        <w:rPr>
          <w:rFonts w:ascii="Times New Roman" w:eastAsiaTheme="minorEastAsia" w:hAnsi="Times New Roman" w:hint="eastAsia"/>
        </w:rPr>
        <w:t>,</w:t>
      </w:r>
      <w:r w:rsidRPr="004144F6">
        <w:rPr>
          <w:rFonts w:ascii="Times New Roman" w:hAnsi="Times New Roman"/>
        </w:rPr>
        <w:t xml:space="preserve"> X.</w:t>
      </w:r>
      <w:r>
        <w:rPr>
          <w:rFonts w:ascii="Times New Roman" w:eastAsiaTheme="minorEastAsia" w:hAnsi="Times New Roman" w:hint="eastAsia"/>
        </w:rPr>
        <w:t xml:space="preserve"> </w:t>
      </w:r>
      <w:r>
        <w:rPr>
          <w:rFonts w:ascii="Times New Roman" w:hAnsi="Times New Roman"/>
        </w:rPr>
        <w:t xml:space="preserve">Chen, </w:t>
      </w:r>
      <w:r w:rsidRPr="004144F6">
        <w:rPr>
          <w:rFonts w:ascii="Times New Roman" w:hAnsi="Times New Roman"/>
        </w:rPr>
        <w:t>Cheng,</w:t>
      </w:r>
      <w:r>
        <w:rPr>
          <w:rFonts w:ascii="Times New Roman" w:eastAsiaTheme="minorEastAsia" w:hAnsi="Times New Roman" w:hint="eastAsia"/>
        </w:rPr>
        <w:t xml:space="preserve"> </w:t>
      </w:r>
      <w:r>
        <w:rPr>
          <w:rFonts w:ascii="Times New Roman" w:hAnsi="Times New Roman"/>
        </w:rPr>
        <w:t>&amp;</w:t>
      </w:r>
      <w:r>
        <w:rPr>
          <w:rFonts w:ascii="Times New Roman" w:eastAsiaTheme="minorEastAsia" w:hAnsi="Times New Roman" w:hint="eastAsia"/>
        </w:rPr>
        <w:t xml:space="preserve"> </w:t>
      </w:r>
      <w:r>
        <w:rPr>
          <w:rFonts w:ascii="Times New Roman" w:hAnsi="Times New Roman"/>
        </w:rPr>
        <w:t>Shevlin</w:t>
      </w:r>
      <w:r>
        <w:rPr>
          <w:rFonts w:ascii="Times New Roman" w:eastAsiaTheme="minorEastAsia" w:hAnsi="Times New Roman" w:hint="eastAsia"/>
        </w:rPr>
        <w:t>,</w:t>
      </w:r>
      <w:r>
        <w:rPr>
          <w:rFonts w:ascii="Times New Roman" w:hAnsi="Times New Roman"/>
        </w:rPr>
        <w:t xml:space="preserve"> 2010</w:t>
      </w:r>
      <w:r>
        <w:rPr>
          <w:rFonts w:ascii="Times New Roman" w:eastAsiaTheme="minorEastAsia" w:hAnsi="Times New Roman" w:hint="eastAsia"/>
        </w:rPr>
        <w:t xml:space="preserve">; </w:t>
      </w:r>
      <w:r>
        <w:rPr>
          <w:rFonts w:ascii="Times New Roman" w:hAnsi="Times New Roman"/>
        </w:rPr>
        <w:t xml:space="preserve">Desai </w:t>
      </w:r>
      <w:r>
        <w:rPr>
          <w:rFonts w:ascii="Times New Roman" w:eastAsiaTheme="minorEastAsia" w:hAnsi="Times New Roman" w:hint="eastAsia"/>
        </w:rPr>
        <w:t>&amp;</w:t>
      </w:r>
      <w:r>
        <w:rPr>
          <w:rFonts w:ascii="Times New Roman" w:hAnsi="Times New Roman"/>
        </w:rPr>
        <w:t xml:space="preserve"> Dharmapala</w:t>
      </w:r>
      <w:r>
        <w:rPr>
          <w:rFonts w:ascii="Times New Roman" w:eastAsiaTheme="minorEastAsia" w:hAnsi="Times New Roman" w:hint="eastAsia"/>
        </w:rPr>
        <w:t xml:space="preserve">, </w:t>
      </w:r>
      <w:r w:rsidRPr="006A5150">
        <w:rPr>
          <w:rFonts w:ascii="Times New Roman" w:hAnsi="Times New Roman"/>
        </w:rPr>
        <w:t>2006).</w:t>
      </w:r>
    </w:p>
  </w:footnote>
  <w:footnote w:id="9">
    <w:p w:rsidR="0026344E" w:rsidRPr="006A5150" w:rsidRDefault="0026344E" w:rsidP="00A701F7">
      <w:pPr>
        <w:pStyle w:val="aa"/>
        <w:adjustRightInd w:val="0"/>
        <w:jc w:val="both"/>
        <w:rPr>
          <w:rFonts w:ascii="Times New Roman" w:hAnsi="Times New Roman"/>
        </w:rPr>
      </w:pPr>
      <w:r w:rsidRPr="006A5150">
        <w:rPr>
          <w:rStyle w:val="a7"/>
          <w:rFonts w:ascii="Times New Roman" w:hAnsi="Times New Roman"/>
        </w:rPr>
        <w:footnoteRef/>
      </w:r>
      <w:r>
        <w:rPr>
          <w:rFonts w:ascii="Times New Roman" w:hAnsi="Times New Roman"/>
        </w:rPr>
        <w:t xml:space="preserve"> It is well known that </w:t>
      </w:r>
      <w:r>
        <w:rPr>
          <w:rFonts w:ascii="Times New Roman" w:eastAsiaTheme="minorEastAsia" w:hAnsi="Times New Roman" w:hint="eastAsia"/>
        </w:rPr>
        <w:t xml:space="preserve">the </w:t>
      </w:r>
      <w:r>
        <w:rPr>
          <w:rFonts w:ascii="Times New Roman" w:hAnsi="Times New Roman"/>
        </w:rPr>
        <w:t>three</w:t>
      </w:r>
      <w:r>
        <w:rPr>
          <w:rFonts w:ascii="Times New Roman" w:eastAsiaTheme="minorEastAsia" w:hAnsi="Times New Roman" w:hint="eastAsia"/>
        </w:rPr>
        <w:t>-</w:t>
      </w:r>
      <w:r w:rsidRPr="006A5150">
        <w:rPr>
          <w:rFonts w:ascii="Times New Roman" w:hAnsi="Times New Roman"/>
        </w:rPr>
        <w:t>factor models of Fama and French (1992) can explain the price earnings ratio from market beta, aggregate mar</w:t>
      </w:r>
      <w:r>
        <w:rPr>
          <w:rFonts w:ascii="Times New Roman" w:hAnsi="Times New Roman"/>
        </w:rPr>
        <w:t>ket value, and the book value/</w:t>
      </w:r>
      <w:r w:rsidRPr="006A5150">
        <w:rPr>
          <w:rFonts w:ascii="Times New Roman" w:hAnsi="Times New Roman"/>
        </w:rPr>
        <w:t xml:space="preserve">aggregate market value ratio.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44E" w:rsidRDefault="0026344E" w:rsidP="00EF31BA">
    <w:pPr>
      <w:pStyle w:val="a3"/>
      <w:ind w:left="360" w:right="360" w:firstLine="360"/>
    </w:pPr>
  </w:p>
  <w:p w:rsidR="0026344E" w:rsidRDefault="0026344E" w:rsidP="00EF31BA">
    <w:pPr>
      <w:ind w:left="360" w:right="360" w:firstLine="420"/>
    </w:pPr>
  </w:p>
  <w:p w:rsidR="0026344E" w:rsidRDefault="0026344E" w:rsidP="00EF31BA">
    <w:pPr>
      <w:ind w:left="360" w:right="360" w:firstLine="420"/>
    </w:pPr>
  </w:p>
  <w:p w:rsidR="0026344E" w:rsidRDefault="0026344E" w:rsidP="00EF31BA">
    <w:pPr>
      <w:ind w:left="360" w:right="360"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44E" w:rsidRPr="00EB375E" w:rsidRDefault="0026344E" w:rsidP="00127F25">
    <w:pPr>
      <w:pStyle w:val="a3"/>
      <w:framePr w:h="198" w:hRule="exact" w:wrap="around" w:vAnchor="text" w:hAnchor="margin" w:xAlign="outside" w:y="7"/>
      <w:pBdr>
        <w:bottom w:val="none" w:sz="0" w:space="0" w:color="auto"/>
      </w:pBdr>
      <w:jc w:val="both"/>
      <w:rPr>
        <w:rStyle w:val="a5"/>
        <w:rFonts w:ascii="Times New Roman" w:hAnsi="Times New Roman" w:cs="Times New Roman"/>
      </w:rPr>
    </w:pPr>
    <w:r w:rsidRPr="00EB375E">
      <w:rPr>
        <w:rStyle w:val="a5"/>
        <w:rFonts w:ascii="Times New Roman" w:hAnsi="Times New Roman" w:cs="Times New Roman"/>
      </w:rPr>
      <w:fldChar w:fldCharType="begin"/>
    </w:r>
    <w:r w:rsidRPr="00EB375E">
      <w:rPr>
        <w:rStyle w:val="a5"/>
        <w:rFonts w:ascii="Times New Roman" w:hAnsi="Times New Roman" w:cs="Times New Roman"/>
      </w:rPr>
      <w:instrText xml:space="preserve">PAGE  </w:instrText>
    </w:r>
    <w:r w:rsidRPr="00EB375E">
      <w:rPr>
        <w:rStyle w:val="a5"/>
        <w:rFonts w:ascii="Times New Roman" w:hAnsi="Times New Roman" w:cs="Times New Roman"/>
      </w:rPr>
      <w:fldChar w:fldCharType="separate"/>
    </w:r>
    <w:r w:rsidR="00DE261A">
      <w:rPr>
        <w:rStyle w:val="a5"/>
        <w:rFonts w:ascii="Times New Roman" w:hAnsi="Times New Roman" w:cs="Times New Roman"/>
        <w:noProof/>
      </w:rPr>
      <w:t>13</w:t>
    </w:r>
    <w:r w:rsidRPr="00EB375E">
      <w:rPr>
        <w:rStyle w:val="a5"/>
        <w:rFonts w:ascii="Times New Roman" w:hAnsi="Times New Roman" w:cs="Times New Roman"/>
      </w:rPr>
      <w:fldChar w:fldCharType="end"/>
    </w:r>
  </w:p>
  <w:p w:rsidR="0026344E" w:rsidRDefault="0026344E" w:rsidP="00C30A0C">
    <w:pPr>
      <w:ind w:firstLineChars="0" w:firstLine="0"/>
      <w:jc w:val="center"/>
    </w:pPr>
    <w:r w:rsidRPr="00C30A0C">
      <w:rPr>
        <w:kern w:val="0"/>
      </w:rPr>
      <w:t>MARKET REACTION TO TRANSFER PRICING TAXATION ANNOUNCEMENT IN PRESS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44E" w:rsidRDefault="0026344E" w:rsidP="00A21D3A">
    <w:pPr>
      <w:pStyle w:val="-10"/>
      <w:snapToGrid w:val="0"/>
      <w:ind w:leftChars="0" w:left="0" w:rightChars="0" w:right="0"/>
      <w:rPr>
        <w:color w:val="000000"/>
      </w:rPr>
    </w:pPr>
    <w:r>
      <w:rPr>
        <w:bCs/>
      </w:rPr>
      <w:t>Journal of Modern Accounting and Auditing,</w:t>
    </w:r>
    <w:r>
      <w:rPr>
        <w:rFonts w:hint="eastAsia"/>
        <w:bCs/>
      </w:rPr>
      <w:t xml:space="preserve"> </w:t>
    </w:r>
    <w:r>
      <w:rPr>
        <w:rFonts w:hint="eastAsia"/>
        <w:color w:val="000000"/>
      </w:rPr>
      <w:t xml:space="preserve">January </w:t>
    </w:r>
    <w:r>
      <w:rPr>
        <w:color w:val="000000"/>
      </w:rPr>
      <w:t>201</w:t>
    </w:r>
    <w:r>
      <w:rPr>
        <w:rFonts w:hint="eastAsia"/>
        <w:color w:val="000000"/>
      </w:rPr>
      <w:t>5</w:t>
    </w:r>
    <w:r>
      <w:rPr>
        <w:color w:val="000000"/>
      </w:rPr>
      <w:t xml:space="preserve">, Vol. </w:t>
    </w:r>
    <w:r>
      <w:rPr>
        <w:rFonts w:hint="eastAsia"/>
        <w:color w:val="000000"/>
      </w:rPr>
      <w:t>11</w:t>
    </w:r>
    <w:r>
      <w:rPr>
        <w:color w:val="000000"/>
      </w:rPr>
      <w:t>, No.</w:t>
    </w:r>
    <w:r>
      <w:rPr>
        <w:rFonts w:hint="eastAsia"/>
        <w:color w:val="000000"/>
      </w:rPr>
      <w:t xml:space="preserve"> 1, 10-26</w:t>
    </w:r>
  </w:p>
  <w:p w:rsidR="0026344E" w:rsidRPr="005236C7" w:rsidRDefault="0026344E" w:rsidP="00A21D3A">
    <w:pPr>
      <w:pStyle w:val="-10"/>
      <w:snapToGrid w:val="0"/>
      <w:ind w:leftChars="0" w:left="0" w:rightChars="0" w:right="0"/>
      <w:rPr>
        <w:bCs/>
      </w:rPr>
    </w:pPr>
    <w:r>
      <w:rPr>
        <w:color w:val="000000"/>
      </w:rPr>
      <w:t>doi: 10.17265/1548-6583/201</w:t>
    </w:r>
    <w:r>
      <w:rPr>
        <w:rFonts w:hint="eastAsia"/>
        <w:color w:val="000000"/>
      </w:rPr>
      <w:t>5</w:t>
    </w:r>
    <w:r>
      <w:rPr>
        <w:color w:val="000000"/>
      </w:rPr>
      <w:t>.</w:t>
    </w:r>
    <w:r>
      <w:rPr>
        <w:rFonts w:hint="eastAsia"/>
        <w:color w:val="000000"/>
      </w:rPr>
      <w:t>01</w:t>
    </w:r>
    <w:r w:rsidRPr="003D273F">
      <w:rPr>
        <w:color w:val="000000"/>
      </w:rPr>
      <w:t>.00</w:t>
    </w:r>
    <w:r>
      <w:rPr>
        <w:rFonts w:hint="eastAsia"/>
        <w:color w:val="000000"/>
      </w:rPr>
      <w:t>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44E" w:rsidRDefault="0026344E" w:rsidP="00667051">
    <w:pPr>
      <w:ind w:firstLineChars="0" w:firstLine="0"/>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44E" w:rsidRPr="00EB375E" w:rsidRDefault="0026344E" w:rsidP="007E0863">
    <w:pPr>
      <w:pStyle w:val="a3"/>
      <w:framePr w:h="198" w:hRule="exact" w:wrap="around" w:vAnchor="text" w:hAnchor="margin" w:xAlign="outside" w:y="1"/>
      <w:pBdr>
        <w:bottom w:val="none" w:sz="0" w:space="0" w:color="auto"/>
      </w:pBdr>
      <w:jc w:val="both"/>
      <w:rPr>
        <w:rStyle w:val="a5"/>
        <w:rFonts w:ascii="Times New Roman" w:hAnsi="Times New Roman" w:cs="Times New Roman"/>
      </w:rPr>
    </w:pPr>
    <w:r w:rsidRPr="00EB375E">
      <w:rPr>
        <w:rStyle w:val="a5"/>
        <w:rFonts w:ascii="Times New Roman" w:hAnsi="Times New Roman" w:cs="Times New Roman"/>
      </w:rPr>
      <w:fldChar w:fldCharType="begin"/>
    </w:r>
    <w:r w:rsidRPr="00EB375E">
      <w:rPr>
        <w:rStyle w:val="a5"/>
        <w:rFonts w:ascii="Times New Roman" w:hAnsi="Times New Roman" w:cs="Times New Roman"/>
      </w:rPr>
      <w:instrText xml:space="preserve">PAGE  </w:instrText>
    </w:r>
    <w:r w:rsidRPr="00EB375E">
      <w:rPr>
        <w:rStyle w:val="a5"/>
        <w:rFonts w:ascii="Times New Roman" w:hAnsi="Times New Roman" w:cs="Times New Roman"/>
      </w:rPr>
      <w:fldChar w:fldCharType="separate"/>
    </w:r>
    <w:r w:rsidR="007B35F2">
      <w:rPr>
        <w:rStyle w:val="a5"/>
        <w:rFonts w:ascii="Times New Roman" w:hAnsi="Times New Roman" w:cs="Times New Roman"/>
        <w:noProof/>
      </w:rPr>
      <w:t>23</w:t>
    </w:r>
    <w:r w:rsidRPr="00EB375E">
      <w:rPr>
        <w:rStyle w:val="a5"/>
        <w:rFonts w:ascii="Times New Roman" w:hAnsi="Times New Roman" w:cs="Times New Roman"/>
      </w:rPr>
      <w:fldChar w:fldCharType="end"/>
    </w:r>
  </w:p>
  <w:p w:rsidR="0026344E" w:rsidRDefault="0026344E" w:rsidP="007E0863">
    <w:pPr>
      <w:ind w:firstLineChars="0" w:firstLine="0"/>
      <w:jc w:val="center"/>
    </w:pPr>
    <w:r w:rsidRPr="00C30A0C">
      <w:rPr>
        <w:kern w:val="0"/>
      </w:rPr>
      <w:t>MARKET REACTION TO TRANSFER PRICING TAXATION ANNOUNCEMENT IN PRESS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572C"/>
    <w:multiLevelType w:val="hybridMultilevel"/>
    <w:tmpl w:val="EF86AE58"/>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4E24594"/>
    <w:multiLevelType w:val="multilevel"/>
    <w:tmpl w:val="04090021"/>
    <w:lvl w:ilvl="0">
      <w:start w:val="1"/>
      <w:numFmt w:val="decimalFullWidth"/>
      <w:suff w:val="nothing"/>
      <w:lvlText w:val="%1"/>
      <w:lvlJc w:val="left"/>
      <w:rPr>
        <w:rFonts w:cs="Times New Roman"/>
      </w:rPr>
    </w:lvl>
    <w:lvl w:ilvl="1">
      <w:start w:val="1"/>
      <w:numFmt w:val="decimalFullWidth"/>
      <w:suff w:val="nothing"/>
      <w:lvlText w:val="%1-%2"/>
      <w:lvlJc w:val="left"/>
      <w:rPr>
        <w:rFonts w:cs="Times New Roman"/>
      </w:rPr>
    </w:lvl>
    <w:lvl w:ilvl="2">
      <w:start w:val="1"/>
      <w:numFmt w:val="decimalFullWidth"/>
      <w:suff w:val="nothing"/>
      <w:lvlText w:val="%1-%2-%3"/>
      <w:lvlJc w:val="left"/>
      <w:rPr>
        <w:rFonts w:cs="Times New Roman"/>
      </w:rPr>
    </w:lvl>
    <w:lvl w:ilvl="3">
      <w:start w:val="1"/>
      <w:numFmt w:val="decimalFullWidth"/>
      <w:suff w:val="nothing"/>
      <w:lvlText w:val="%1-%2-%3-%4"/>
      <w:lvlJc w:val="left"/>
      <w:rPr>
        <w:rFonts w:cs="Times New Roman"/>
      </w:rPr>
    </w:lvl>
    <w:lvl w:ilvl="4">
      <w:start w:val="1"/>
      <w:numFmt w:val="decimalFullWidth"/>
      <w:suff w:val="nothing"/>
      <w:lvlText w:val="%1-%2-%3-%4-%5"/>
      <w:lvlJc w:val="left"/>
      <w:rPr>
        <w:rFonts w:cs="Times New Roman"/>
      </w:rPr>
    </w:lvl>
    <w:lvl w:ilvl="5">
      <w:start w:val="1"/>
      <w:numFmt w:val="decimalFullWidth"/>
      <w:suff w:val="nothing"/>
      <w:lvlText w:val="%1-%2-%3-%4-%5-%6"/>
      <w:lvlJc w:val="left"/>
      <w:rPr>
        <w:rFonts w:cs="Times New Roman"/>
      </w:rPr>
    </w:lvl>
    <w:lvl w:ilvl="6">
      <w:start w:val="1"/>
      <w:numFmt w:val="decimalFullWidth"/>
      <w:suff w:val="nothing"/>
      <w:lvlText w:val="%1-%2-%3-%4-%5-%6-%7"/>
      <w:lvlJc w:val="left"/>
      <w:rPr>
        <w:rFonts w:cs="Times New Roman"/>
      </w:rPr>
    </w:lvl>
    <w:lvl w:ilvl="7">
      <w:start w:val="1"/>
      <w:numFmt w:val="decimalFullWidth"/>
      <w:suff w:val="nothing"/>
      <w:lvlText w:val="%1-%2-%3-%4-%5-%6-%7-%8"/>
      <w:lvlJc w:val="left"/>
      <w:rPr>
        <w:rFonts w:cs="Times New Roman"/>
      </w:rPr>
    </w:lvl>
    <w:lvl w:ilvl="8">
      <w:start w:val="1"/>
      <w:numFmt w:val="decimalFullWidth"/>
      <w:suff w:val="nothing"/>
      <w:lvlText w:val="%1-%2-%3-%4-%5-%6-%7-%8-%9"/>
      <w:lvlJc w:val="left"/>
      <w:rPr>
        <w:rFonts w:cs="Times New Roman"/>
      </w:rPr>
    </w:lvl>
  </w:abstractNum>
  <w:abstractNum w:abstractNumId="2">
    <w:nsid w:val="1DC660AD"/>
    <w:multiLevelType w:val="multilevel"/>
    <w:tmpl w:val="D848E5F6"/>
    <w:lvl w:ilvl="0">
      <w:start w:val="1"/>
      <w:numFmt w:val="decimalFullWidth"/>
      <w:suff w:val="nothing"/>
      <w:lvlText w:val="%1"/>
      <w:lvlJc w:val="left"/>
      <w:rPr>
        <w:rFonts w:cs="Times New Roman" w:hint="eastAsia"/>
      </w:rPr>
    </w:lvl>
    <w:lvl w:ilvl="1">
      <w:start w:val="1"/>
      <w:numFmt w:val="decimalFullWidth"/>
      <w:suff w:val="nothing"/>
      <w:lvlText w:val="%1-%2"/>
      <w:lvlJc w:val="left"/>
      <w:rPr>
        <w:rFonts w:cs="Times New Roman" w:hint="eastAsia"/>
      </w:rPr>
    </w:lvl>
    <w:lvl w:ilvl="2">
      <w:start w:val="1"/>
      <w:numFmt w:val="decimalFullWidth"/>
      <w:suff w:val="nothing"/>
      <w:lvlText w:val="%1-%2-%3"/>
      <w:lvlJc w:val="left"/>
      <w:rPr>
        <w:rFonts w:cs="Times New Roman" w:hint="eastAsia"/>
      </w:rPr>
    </w:lvl>
    <w:lvl w:ilvl="3">
      <w:start w:val="1"/>
      <w:numFmt w:val="decimalFullWidth"/>
      <w:suff w:val="nothing"/>
      <w:lvlText w:val="%1-%2-%3-%4"/>
      <w:lvlJc w:val="left"/>
      <w:rPr>
        <w:rFonts w:cs="Times New Roman" w:hint="eastAsia"/>
      </w:rPr>
    </w:lvl>
    <w:lvl w:ilvl="4">
      <w:start w:val="1"/>
      <w:numFmt w:val="decimalFullWidth"/>
      <w:suff w:val="nothing"/>
      <w:lvlText w:val="%1-%2-%3-%4-%5"/>
      <w:lvlJc w:val="left"/>
      <w:rPr>
        <w:rFonts w:cs="Times New Roman" w:hint="eastAsia"/>
      </w:rPr>
    </w:lvl>
    <w:lvl w:ilvl="5">
      <w:start w:val="1"/>
      <w:numFmt w:val="decimalFullWidth"/>
      <w:suff w:val="nothing"/>
      <w:lvlText w:val="%1-%2-%3-%4-%5-%6"/>
      <w:lvlJc w:val="left"/>
      <w:rPr>
        <w:rFonts w:cs="Times New Roman" w:hint="eastAsia"/>
      </w:rPr>
    </w:lvl>
    <w:lvl w:ilvl="6">
      <w:start w:val="1"/>
      <w:numFmt w:val="decimalFullWidth"/>
      <w:suff w:val="nothing"/>
      <w:lvlText w:val="%1-%2-%3-%4-%5-%6-%7"/>
      <w:lvlJc w:val="left"/>
      <w:rPr>
        <w:rFonts w:cs="Times New Roman" w:hint="eastAsia"/>
      </w:rPr>
    </w:lvl>
    <w:lvl w:ilvl="7">
      <w:start w:val="1"/>
      <w:numFmt w:val="decimalFullWidth"/>
      <w:suff w:val="nothing"/>
      <w:lvlText w:val="%1-%2-%3-%4-%5-%6-%7-%8"/>
      <w:lvlJc w:val="left"/>
      <w:rPr>
        <w:rFonts w:cs="Times New Roman" w:hint="eastAsia"/>
      </w:rPr>
    </w:lvl>
    <w:lvl w:ilvl="8">
      <w:start w:val="1"/>
      <w:numFmt w:val="decimalFullWidth"/>
      <w:suff w:val="nothing"/>
      <w:lvlText w:val="%1-%2-%3-%4-%5-%6-%7-%8-%9"/>
      <w:lvlJc w:val="left"/>
      <w:rPr>
        <w:rFonts w:cs="Times New Roman" w:hint="eastAsia"/>
      </w:rPr>
    </w:lvl>
  </w:abstractNum>
  <w:abstractNum w:abstractNumId="3">
    <w:nsid w:val="1E9E4C82"/>
    <w:multiLevelType w:val="multilevel"/>
    <w:tmpl w:val="04090021"/>
    <w:lvl w:ilvl="0">
      <w:start w:val="1"/>
      <w:numFmt w:val="decimalFullWidth"/>
      <w:suff w:val="nothing"/>
      <w:lvlText w:val="%1"/>
      <w:lvlJc w:val="left"/>
      <w:rPr>
        <w:rFonts w:cs="Times New Roman"/>
      </w:rPr>
    </w:lvl>
    <w:lvl w:ilvl="1">
      <w:start w:val="1"/>
      <w:numFmt w:val="decimalFullWidth"/>
      <w:suff w:val="nothing"/>
      <w:lvlText w:val="%1-%2"/>
      <w:lvlJc w:val="left"/>
      <w:rPr>
        <w:rFonts w:cs="Times New Roman"/>
      </w:rPr>
    </w:lvl>
    <w:lvl w:ilvl="2">
      <w:start w:val="1"/>
      <w:numFmt w:val="decimalFullWidth"/>
      <w:suff w:val="nothing"/>
      <w:lvlText w:val="%1-%2-%3"/>
      <w:lvlJc w:val="left"/>
      <w:rPr>
        <w:rFonts w:cs="Times New Roman"/>
      </w:rPr>
    </w:lvl>
    <w:lvl w:ilvl="3">
      <w:start w:val="1"/>
      <w:numFmt w:val="decimalFullWidth"/>
      <w:suff w:val="nothing"/>
      <w:lvlText w:val="%1-%2-%3-%4"/>
      <w:lvlJc w:val="left"/>
      <w:rPr>
        <w:rFonts w:cs="Times New Roman"/>
      </w:rPr>
    </w:lvl>
    <w:lvl w:ilvl="4">
      <w:start w:val="1"/>
      <w:numFmt w:val="decimalFullWidth"/>
      <w:suff w:val="nothing"/>
      <w:lvlText w:val="%1-%2-%3-%4-%5"/>
      <w:lvlJc w:val="left"/>
      <w:rPr>
        <w:rFonts w:cs="Times New Roman"/>
      </w:rPr>
    </w:lvl>
    <w:lvl w:ilvl="5">
      <w:start w:val="1"/>
      <w:numFmt w:val="decimalFullWidth"/>
      <w:suff w:val="nothing"/>
      <w:lvlText w:val="%1-%2-%3-%4-%5-%6"/>
      <w:lvlJc w:val="left"/>
      <w:rPr>
        <w:rFonts w:cs="Times New Roman"/>
      </w:rPr>
    </w:lvl>
    <w:lvl w:ilvl="6">
      <w:start w:val="1"/>
      <w:numFmt w:val="decimalFullWidth"/>
      <w:suff w:val="nothing"/>
      <w:lvlText w:val="%1-%2-%3-%4-%5-%6-%7"/>
      <w:lvlJc w:val="left"/>
      <w:rPr>
        <w:rFonts w:cs="Times New Roman"/>
      </w:rPr>
    </w:lvl>
    <w:lvl w:ilvl="7">
      <w:start w:val="1"/>
      <w:numFmt w:val="decimalFullWidth"/>
      <w:suff w:val="nothing"/>
      <w:lvlText w:val="%1-%2-%3-%4-%5-%6-%7-%8"/>
      <w:lvlJc w:val="left"/>
      <w:rPr>
        <w:rFonts w:cs="Times New Roman"/>
      </w:rPr>
    </w:lvl>
    <w:lvl w:ilvl="8">
      <w:start w:val="1"/>
      <w:numFmt w:val="decimalFullWidth"/>
      <w:suff w:val="nothing"/>
      <w:lvlText w:val="%1-%2-%3-%4-%5-%6-%7-%8-%9"/>
      <w:lvlJc w:val="left"/>
      <w:rPr>
        <w:rFonts w:cs="Times New Roman"/>
      </w:rPr>
    </w:lvl>
  </w:abstractNum>
  <w:abstractNum w:abstractNumId="4">
    <w:nsid w:val="1FAA04D4"/>
    <w:multiLevelType w:val="multilevel"/>
    <w:tmpl w:val="33C44D74"/>
    <w:lvl w:ilvl="0">
      <w:start w:val="2"/>
      <w:numFmt w:val="decimalFullWidth"/>
      <w:lvlText w:val="%1."/>
      <w:lvlJc w:val="left"/>
      <w:rPr>
        <w:rFonts w:ascii="Times New Roman" w:cs="MS Mincho" w:hint="default"/>
      </w:rPr>
    </w:lvl>
    <w:lvl w:ilvl="1">
      <w:start w:val="1"/>
      <w:numFmt w:val="decimalFullWidth"/>
      <w:suff w:val="nothing"/>
      <w:lvlText w:val="%1-%2"/>
      <w:lvlJc w:val="left"/>
      <w:rPr>
        <w:rFonts w:cs="Times New Roman" w:hint="eastAsia"/>
      </w:rPr>
    </w:lvl>
    <w:lvl w:ilvl="2">
      <w:start w:val="1"/>
      <w:numFmt w:val="decimalFullWidth"/>
      <w:suff w:val="nothing"/>
      <w:lvlText w:val="%1-%2-%3"/>
      <w:lvlJc w:val="left"/>
      <w:rPr>
        <w:rFonts w:cs="Times New Roman" w:hint="eastAsia"/>
      </w:rPr>
    </w:lvl>
    <w:lvl w:ilvl="3">
      <w:start w:val="1"/>
      <w:numFmt w:val="decimalFullWidth"/>
      <w:suff w:val="nothing"/>
      <w:lvlText w:val="%1-%2-%3-%4"/>
      <w:lvlJc w:val="left"/>
      <w:rPr>
        <w:rFonts w:cs="Times New Roman" w:hint="eastAsia"/>
      </w:rPr>
    </w:lvl>
    <w:lvl w:ilvl="4">
      <w:start w:val="1"/>
      <w:numFmt w:val="decimalFullWidth"/>
      <w:suff w:val="nothing"/>
      <w:lvlText w:val="%1-%2-%3-%4-%5"/>
      <w:lvlJc w:val="left"/>
      <w:rPr>
        <w:rFonts w:cs="Times New Roman" w:hint="eastAsia"/>
      </w:rPr>
    </w:lvl>
    <w:lvl w:ilvl="5">
      <w:start w:val="1"/>
      <w:numFmt w:val="decimalFullWidth"/>
      <w:suff w:val="nothing"/>
      <w:lvlText w:val="%1-%2-%3-%4-%5-%6"/>
      <w:lvlJc w:val="left"/>
      <w:rPr>
        <w:rFonts w:cs="Times New Roman" w:hint="eastAsia"/>
      </w:rPr>
    </w:lvl>
    <w:lvl w:ilvl="6">
      <w:start w:val="1"/>
      <w:numFmt w:val="decimalFullWidth"/>
      <w:suff w:val="nothing"/>
      <w:lvlText w:val="%1-%2-%3-%4-%5-%6-%7"/>
      <w:lvlJc w:val="left"/>
      <w:rPr>
        <w:rFonts w:cs="Times New Roman" w:hint="eastAsia"/>
      </w:rPr>
    </w:lvl>
    <w:lvl w:ilvl="7">
      <w:start w:val="1"/>
      <w:numFmt w:val="decimalFullWidth"/>
      <w:suff w:val="nothing"/>
      <w:lvlText w:val="%1-%2-%3-%4-%5-%6-%7-%8"/>
      <w:lvlJc w:val="left"/>
      <w:rPr>
        <w:rFonts w:cs="Times New Roman" w:hint="eastAsia"/>
      </w:rPr>
    </w:lvl>
    <w:lvl w:ilvl="8">
      <w:start w:val="1"/>
      <w:numFmt w:val="decimalFullWidth"/>
      <w:suff w:val="nothing"/>
      <w:lvlText w:val="%1-%2-%3-%4-%5-%6-%7-%8-%9"/>
      <w:lvlJc w:val="left"/>
      <w:rPr>
        <w:rFonts w:cs="Times New Roman" w:hint="eastAsia"/>
      </w:rPr>
    </w:lvl>
  </w:abstractNum>
  <w:abstractNum w:abstractNumId="5">
    <w:nsid w:val="21DC35E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24EC37B4"/>
    <w:multiLevelType w:val="multilevel"/>
    <w:tmpl w:val="D848E5F6"/>
    <w:lvl w:ilvl="0">
      <w:start w:val="1"/>
      <w:numFmt w:val="decimalFullWidth"/>
      <w:suff w:val="nothing"/>
      <w:lvlText w:val="%1"/>
      <w:lvlJc w:val="left"/>
      <w:rPr>
        <w:rFonts w:cs="Times New Roman" w:hint="eastAsia"/>
      </w:rPr>
    </w:lvl>
    <w:lvl w:ilvl="1">
      <w:start w:val="1"/>
      <w:numFmt w:val="decimalFullWidth"/>
      <w:suff w:val="nothing"/>
      <w:lvlText w:val="%1-%2"/>
      <w:lvlJc w:val="left"/>
      <w:rPr>
        <w:rFonts w:cs="Times New Roman" w:hint="eastAsia"/>
      </w:rPr>
    </w:lvl>
    <w:lvl w:ilvl="2">
      <w:start w:val="1"/>
      <w:numFmt w:val="decimalFullWidth"/>
      <w:suff w:val="nothing"/>
      <w:lvlText w:val="%1-%2-%3"/>
      <w:lvlJc w:val="left"/>
      <w:rPr>
        <w:rFonts w:cs="Times New Roman" w:hint="eastAsia"/>
      </w:rPr>
    </w:lvl>
    <w:lvl w:ilvl="3">
      <w:start w:val="1"/>
      <w:numFmt w:val="decimalFullWidth"/>
      <w:suff w:val="nothing"/>
      <w:lvlText w:val="%1-%2-%3-%4"/>
      <w:lvlJc w:val="left"/>
      <w:rPr>
        <w:rFonts w:cs="Times New Roman" w:hint="eastAsia"/>
      </w:rPr>
    </w:lvl>
    <w:lvl w:ilvl="4">
      <w:start w:val="1"/>
      <w:numFmt w:val="decimalFullWidth"/>
      <w:suff w:val="nothing"/>
      <w:lvlText w:val="%1-%2-%3-%4-%5"/>
      <w:lvlJc w:val="left"/>
      <w:rPr>
        <w:rFonts w:cs="Times New Roman" w:hint="eastAsia"/>
      </w:rPr>
    </w:lvl>
    <w:lvl w:ilvl="5">
      <w:start w:val="1"/>
      <w:numFmt w:val="decimalFullWidth"/>
      <w:suff w:val="nothing"/>
      <w:lvlText w:val="%1-%2-%3-%4-%5-%6"/>
      <w:lvlJc w:val="left"/>
      <w:rPr>
        <w:rFonts w:cs="Times New Roman" w:hint="eastAsia"/>
      </w:rPr>
    </w:lvl>
    <w:lvl w:ilvl="6">
      <w:start w:val="1"/>
      <w:numFmt w:val="decimalFullWidth"/>
      <w:suff w:val="nothing"/>
      <w:lvlText w:val="%1-%2-%3-%4-%5-%6-%7"/>
      <w:lvlJc w:val="left"/>
      <w:rPr>
        <w:rFonts w:cs="Times New Roman" w:hint="eastAsia"/>
      </w:rPr>
    </w:lvl>
    <w:lvl w:ilvl="7">
      <w:start w:val="1"/>
      <w:numFmt w:val="decimalFullWidth"/>
      <w:suff w:val="nothing"/>
      <w:lvlText w:val="%1-%2-%3-%4-%5-%6-%7-%8"/>
      <w:lvlJc w:val="left"/>
      <w:rPr>
        <w:rFonts w:cs="Times New Roman" w:hint="eastAsia"/>
      </w:rPr>
    </w:lvl>
    <w:lvl w:ilvl="8">
      <w:start w:val="1"/>
      <w:numFmt w:val="decimalFullWidth"/>
      <w:suff w:val="nothing"/>
      <w:lvlText w:val="%1-%2-%3-%4-%5-%6-%7-%8-%9"/>
      <w:lvlJc w:val="left"/>
      <w:rPr>
        <w:rFonts w:cs="Times New Roman" w:hint="eastAsia"/>
      </w:rPr>
    </w:lvl>
  </w:abstractNum>
  <w:abstractNum w:abstractNumId="7">
    <w:nsid w:val="29920682"/>
    <w:multiLevelType w:val="multilevel"/>
    <w:tmpl w:val="77465776"/>
    <w:lvl w:ilvl="0">
      <w:start w:val="1"/>
      <w:numFmt w:val="decimal"/>
      <w:lvlText w:val="%1."/>
      <w:lvlJc w:val="left"/>
      <w:pPr>
        <w:ind w:left="420" w:hanging="42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29F43B25"/>
    <w:multiLevelType w:val="multilevel"/>
    <w:tmpl w:val="04090021"/>
    <w:lvl w:ilvl="0">
      <w:start w:val="1"/>
      <w:numFmt w:val="decimalFullWidth"/>
      <w:suff w:val="nothing"/>
      <w:lvlText w:val="%1"/>
      <w:lvlJc w:val="left"/>
      <w:rPr>
        <w:rFonts w:cs="Times New Roman"/>
      </w:rPr>
    </w:lvl>
    <w:lvl w:ilvl="1">
      <w:start w:val="1"/>
      <w:numFmt w:val="decimalFullWidth"/>
      <w:suff w:val="nothing"/>
      <w:lvlText w:val="%1-%2"/>
      <w:lvlJc w:val="left"/>
      <w:rPr>
        <w:rFonts w:cs="Times New Roman"/>
      </w:rPr>
    </w:lvl>
    <w:lvl w:ilvl="2">
      <w:start w:val="1"/>
      <w:numFmt w:val="decimalFullWidth"/>
      <w:suff w:val="nothing"/>
      <w:lvlText w:val="%1-%2-%3"/>
      <w:lvlJc w:val="left"/>
      <w:rPr>
        <w:rFonts w:cs="Times New Roman"/>
      </w:rPr>
    </w:lvl>
    <w:lvl w:ilvl="3">
      <w:start w:val="1"/>
      <w:numFmt w:val="decimalFullWidth"/>
      <w:suff w:val="nothing"/>
      <w:lvlText w:val="%1-%2-%3-%4"/>
      <w:lvlJc w:val="left"/>
      <w:rPr>
        <w:rFonts w:cs="Times New Roman"/>
      </w:rPr>
    </w:lvl>
    <w:lvl w:ilvl="4">
      <w:start w:val="1"/>
      <w:numFmt w:val="decimalFullWidth"/>
      <w:suff w:val="nothing"/>
      <w:lvlText w:val="%1-%2-%3-%4-%5"/>
      <w:lvlJc w:val="left"/>
      <w:rPr>
        <w:rFonts w:cs="Times New Roman"/>
      </w:rPr>
    </w:lvl>
    <w:lvl w:ilvl="5">
      <w:start w:val="1"/>
      <w:numFmt w:val="decimalFullWidth"/>
      <w:suff w:val="nothing"/>
      <w:lvlText w:val="%1-%2-%3-%4-%5-%6"/>
      <w:lvlJc w:val="left"/>
      <w:rPr>
        <w:rFonts w:cs="Times New Roman"/>
      </w:rPr>
    </w:lvl>
    <w:lvl w:ilvl="6">
      <w:start w:val="1"/>
      <w:numFmt w:val="decimalFullWidth"/>
      <w:suff w:val="nothing"/>
      <w:lvlText w:val="%1-%2-%3-%4-%5-%6-%7"/>
      <w:lvlJc w:val="left"/>
      <w:rPr>
        <w:rFonts w:cs="Times New Roman"/>
      </w:rPr>
    </w:lvl>
    <w:lvl w:ilvl="7">
      <w:start w:val="1"/>
      <w:numFmt w:val="decimalFullWidth"/>
      <w:suff w:val="nothing"/>
      <w:lvlText w:val="%1-%2-%3-%4-%5-%6-%7-%8"/>
      <w:lvlJc w:val="left"/>
      <w:rPr>
        <w:rFonts w:cs="Times New Roman"/>
      </w:rPr>
    </w:lvl>
    <w:lvl w:ilvl="8">
      <w:start w:val="1"/>
      <w:numFmt w:val="decimalFullWidth"/>
      <w:suff w:val="nothing"/>
      <w:lvlText w:val="%1-%2-%3-%4-%5-%6-%7-%8-%9"/>
      <w:lvlJc w:val="left"/>
      <w:rPr>
        <w:rFonts w:cs="Times New Roman"/>
      </w:rPr>
    </w:lvl>
  </w:abstractNum>
  <w:abstractNum w:abstractNumId="9">
    <w:nsid w:val="2C3406C0"/>
    <w:multiLevelType w:val="hybridMultilevel"/>
    <w:tmpl w:val="918ADA88"/>
    <w:lvl w:ilvl="0" w:tplc="D870BF96">
      <w:start w:val="1"/>
      <w:numFmt w:val="decimalFullWidth"/>
      <w:lvlText w:val="%1."/>
      <w:lvlJc w:val="left"/>
      <w:pPr>
        <w:ind w:left="360" w:hanging="360"/>
      </w:pPr>
      <w:rPr>
        <w:rFonts w:ascii="Arial"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311B1A34"/>
    <w:multiLevelType w:val="hybridMultilevel"/>
    <w:tmpl w:val="E8746434"/>
    <w:lvl w:ilvl="0" w:tplc="38767E28">
      <w:start w:val="1"/>
      <w:numFmt w:val="decimalFullWidth"/>
      <w:lvlText w:val="%1."/>
      <w:lvlJc w:val="left"/>
      <w:pPr>
        <w:ind w:left="360" w:hanging="360"/>
      </w:pPr>
      <w:rPr>
        <w:rFonts w:ascii="Times New Roman" w:cs="MS Mincho"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35E42EDB"/>
    <w:multiLevelType w:val="hybridMultilevel"/>
    <w:tmpl w:val="B1080E0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3E46541A"/>
    <w:multiLevelType w:val="hybridMultilevel"/>
    <w:tmpl w:val="49EC722A"/>
    <w:lvl w:ilvl="0" w:tplc="D870BF96">
      <w:start w:val="1"/>
      <w:numFmt w:val="decimalFullWidth"/>
      <w:lvlText w:val="%1."/>
      <w:lvlJc w:val="left"/>
      <w:pPr>
        <w:ind w:left="360" w:hanging="360"/>
      </w:pPr>
      <w:rPr>
        <w:rFonts w:ascii="Arial"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40DD3079"/>
    <w:multiLevelType w:val="multilevel"/>
    <w:tmpl w:val="86D4E6EE"/>
    <w:lvl w:ilvl="0">
      <w:start w:val="1"/>
      <w:numFmt w:val="decimalFullWidth"/>
      <w:lvlText w:val="%1."/>
      <w:lvlJc w:val="left"/>
      <w:rPr>
        <w:rFonts w:ascii="Times New Roman" w:cs="MS Mincho" w:hint="default"/>
      </w:rPr>
    </w:lvl>
    <w:lvl w:ilvl="1">
      <w:start w:val="1"/>
      <w:numFmt w:val="decimalFullWidth"/>
      <w:suff w:val="nothing"/>
      <w:lvlText w:val="%1-%2"/>
      <w:lvlJc w:val="left"/>
      <w:rPr>
        <w:rFonts w:cs="Times New Roman" w:hint="eastAsia"/>
      </w:rPr>
    </w:lvl>
    <w:lvl w:ilvl="2">
      <w:start w:val="1"/>
      <w:numFmt w:val="decimalFullWidth"/>
      <w:suff w:val="nothing"/>
      <w:lvlText w:val="%1-%2-%3"/>
      <w:lvlJc w:val="left"/>
      <w:rPr>
        <w:rFonts w:cs="Times New Roman" w:hint="eastAsia"/>
      </w:rPr>
    </w:lvl>
    <w:lvl w:ilvl="3">
      <w:start w:val="1"/>
      <w:numFmt w:val="decimalFullWidth"/>
      <w:suff w:val="nothing"/>
      <w:lvlText w:val="%1-%2-%3-%4"/>
      <w:lvlJc w:val="left"/>
      <w:rPr>
        <w:rFonts w:cs="Times New Roman" w:hint="eastAsia"/>
      </w:rPr>
    </w:lvl>
    <w:lvl w:ilvl="4">
      <w:start w:val="1"/>
      <w:numFmt w:val="decimalFullWidth"/>
      <w:suff w:val="nothing"/>
      <w:lvlText w:val="%1-%2-%3-%4-%5"/>
      <w:lvlJc w:val="left"/>
      <w:rPr>
        <w:rFonts w:cs="Times New Roman" w:hint="eastAsia"/>
      </w:rPr>
    </w:lvl>
    <w:lvl w:ilvl="5">
      <w:start w:val="1"/>
      <w:numFmt w:val="decimalFullWidth"/>
      <w:suff w:val="nothing"/>
      <w:lvlText w:val="%1-%2-%3-%4-%5-%6"/>
      <w:lvlJc w:val="left"/>
      <w:rPr>
        <w:rFonts w:cs="Times New Roman" w:hint="eastAsia"/>
      </w:rPr>
    </w:lvl>
    <w:lvl w:ilvl="6">
      <w:start w:val="1"/>
      <w:numFmt w:val="decimalFullWidth"/>
      <w:suff w:val="nothing"/>
      <w:lvlText w:val="%1-%2-%3-%4-%5-%6-%7"/>
      <w:lvlJc w:val="left"/>
      <w:rPr>
        <w:rFonts w:cs="Times New Roman" w:hint="eastAsia"/>
      </w:rPr>
    </w:lvl>
    <w:lvl w:ilvl="7">
      <w:start w:val="1"/>
      <w:numFmt w:val="decimalFullWidth"/>
      <w:suff w:val="nothing"/>
      <w:lvlText w:val="%1-%2-%3-%4-%5-%6-%7-%8"/>
      <w:lvlJc w:val="left"/>
      <w:rPr>
        <w:rFonts w:cs="Times New Roman" w:hint="eastAsia"/>
      </w:rPr>
    </w:lvl>
    <w:lvl w:ilvl="8">
      <w:start w:val="1"/>
      <w:numFmt w:val="decimalFullWidth"/>
      <w:suff w:val="nothing"/>
      <w:lvlText w:val="%1-%2-%3-%4-%5-%6-%7-%8-%9"/>
      <w:lvlJc w:val="left"/>
      <w:rPr>
        <w:rFonts w:cs="Times New Roman" w:hint="eastAsia"/>
      </w:rPr>
    </w:lvl>
  </w:abstractNum>
  <w:abstractNum w:abstractNumId="14">
    <w:nsid w:val="41CA349A"/>
    <w:multiLevelType w:val="multilevel"/>
    <w:tmpl w:val="D848E5F6"/>
    <w:lvl w:ilvl="0">
      <w:start w:val="1"/>
      <w:numFmt w:val="decimalFullWidth"/>
      <w:suff w:val="nothing"/>
      <w:lvlText w:val="%1"/>
      <w:lvlJc w:val="left"/>
      <w:rPr>
        <w:rFonts w:cs="Times New Roman" w:hint="eastAsia"/>
      </w:rPr>
    </w:lvl>
    <w:lvl w:ilvl="1">
      <w:start w:val="1"/>
      <w:numFmt w:val="decimalFullWidth"/>
      <w:suff w:val="nothing"/>
      <w:lvlText w:val="%1-%2"/>
      <w:lvlJc w:val="left"/>
      <w:rPr>
        <w:rFonts w:cs="Times New Roman" w:hint="eastAsia"/>
      </w:rPr>
    </w:lvl>
    <w:lvl w:ilvl="2">
      <w:start w:val="1"/>
      <w:numFmt w:val="decimalFullWidth"/>
      <w:suff w:val="nothing"/>
      <w:lvlText w:val="%1-%2-%3"/>
      <w:lvlJc w:val="left"/>
      <w:rPr>
        <w:rFonts w:cs="Times New Roman" w:hint="eastAsia"/>
      </w:rPr>
    </w:lvl>
    <w:lvl w:ilvl="3">
      <w:start w:val="1"/>
      <w:numFmt w:val="decimalFullWidth"/>
      <w:suff w:val="nothing"/>
      <w:lvlText w:val="%1-%2-%3-%4"/>
      <w:lvlJc w:val="left"/>
      <w:rPr>
        <w:rFonts w:cs="Times New Roman" w:hint="eastAsia"/>
      </w:rPr>
    </w:lvl>
    <w:lvl w:ilvl="4">
      <w:start w:val="1"/>
      <w:numFmt w:val="decimalFullWidth"/>
      <w:suff w:val="nothing"/>
      <w:lvlText w:val="%1-%2-%3-%4-%5"/>
      <w:lvlJc w:val="left"/>
      <w:rPr>
        <w:rFonts w:cs="Times New Roman" w:hint="eastAsia"/>
      </w:rPr>
    </w:lvl>
    <w:lvl w:ilvl="5">
      <w:start w:val="1"/>
      <w:numFmt w:val="decimalFullWidth"/>
      <w:suff w:val="nothing"/>
      <w:lvlText w:val="%1-%2-%3-%4-%5-%6"/>
      <w:lvlJc w:val="left"/>
      <w:rPr>
        <w:rFonts w:cs="Times New Roman" w:hint="eastAsia"/>
      </w:rPr>
    </w:lvl>
    <w:lvl w:ilvl="6">
      <w:start w:val="1"/>
      <w:numFmt w:val="decimalFullWidth"/>
      <w:suff w:val="nothing"/>
      <w:lvlText w:val="%1-%2-%3-%4-%5-%6-%7"/>
      <w:lvlJc w:val="left"/>
      <w:rPr>
        <w:rFonts w:cs="Times New Roman" w:hint="eastAsia"/>
      </w:rPr>
    </w:lvl>
    <w:lvl w:ilvl="7">
      <w:start w:val="1"/>
      <w:numFmt w:val="decimalFullWidth"/>
      <w:suff w:val="nothing"/>
      <w:lvlText w:val="%1-%2-%3-%4-%5-%6-%7-%8"/>
      <w:lvlJc w:val="left"/>
      <w:rPr>
        <w:rFonts w:cs="Times New Roman" w:hint="eastAsia"/>
      </w:rPr>
    </w:lvl>
    <w:lvl w:ilvl="8">
      <w:start w:val="1"/>
      <w:numFmt w:val="decimalFullWidth"/>
      <w:suff w:val="nothing"/>
      <w:lvlText w:val="%1-%2-%3-%4-%5-%6-%7-%8-%9"/>
      <w:lvlJc w:val="left"/>
      <w:rPr>
        <w:rFonts w:cs="Times New Roman" w:hint="eastAsia"/>
      </w:rPr>
    </w:lvl>
  </w:abstractNum>
  <w:abstractNum w:abstractNumId="15">
    <w:nsid w:val="47E13D76"/>
    <w:multiLevelType w:val="hybridMultilevel"/>
    <w:tmpl w:val="46F69916"/>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nsid w:val="4A282A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4DD23879"/>
    <w:multiLevelType w:val="multilevel"/>
    <w:tmpl w:val="CAFA78FA"/>
    <w:lvl w:ilvl="0">
      <w:start w:val="4"/>
      <w:numFmt w:val="decimalFullWidth"/>
      <w:lvlText w:val="%1."/>
      <w:lvlJc w:val="left"/>
      <w:rPr>
        <w:rFonts w:ascii="Times New Roman" w:cs="MS Mincho" w:hint="default"/>
      </w:rPr>
    </w:lvl>
    <w:lvl w:ilvl="1">
      <w:start w:val="1"/>
      <w:numFmt w:val="decimalFullWidth"/>
      <w:suff w:val="nothing"/>
      <w:lvlText w:val="%1-%2"/>
      <w:lvlJc w:val="left"/>
      <w:rPr>
        <w:rFonts w:cs="Times New Roman" w:hint="eastAsia"/>
      </w:rPr>
    </w:lvl>
    <w:lvl w:ilvl="2">
      <w:start w:val="1"/>
      <w:numFmt w:val="decimalFullWidth"/>
      <w:suff w:val="nothing"/>
      <w:lvlText w:val="%1-%2-%3"/>
      <w:lvlJc w:val="left"/>
      <w:rPr>
        <w:rFonts w:cs="Times New Roman" w:hint="eastAsia"/>
      </w:rPr>
    </w:lvl>
    <w:lvl w:ilvl="3">
      <w:start w:val="1"/>
      <w:numFmt w:val="decimalFullWidth"/>
      <w:suff w:val="nothing"/>
      <w:lvlText w:val="%1-%2-%3-%4"/>
      <w:lvlJc w:val="left"/>
      <w:rPr>
        <w:rFonts w:cs="Times New Roman" w:hint="eastAsia"/>
      </w:rPr>
    </w:lvl>
    <w:lvl w:ilvl="4">
      <w:start w:val="1"/>
      <w:numFmt w:val="decimalFullWidth"/>
      <w:suff w:val="nothing"/>
      <w:lvlText w:val="%1-%2-%3-%4-%5"/>
      <w:lvlJc w:val="left"/>
      <w:rPr>
        <w:rFonts w:cs="Times New Roman" w:hint="eastAsia"/>
      </w:rPr>
    </w:lvl>
    <w:lvl w:ilvl="5">
      <w:start w:val="1"/>
      <w:numFmt w:val="decimalFullWidth"/>
      <w:suff w:val="nothing"/>
      <w:lvlText w:val="%1-%2-%3-%4-%5-%6"/>
      <w:lvlJc w:val="left"/>
      <w:rPr>
        <w:rFonts w:cs="Times New Roman" w:hint="eastAsia"/>
      </w:rPr>
    </w:lvl>
    <w:lvl w:ilvl="6">
      <w:start w:val="1"/>
      <w:numFmt w:val="decimalFullWidth"/>
      <w:suff w:val="nothing"/>
      <w:lvlText w:val="%1-%2-%3-%4-%5-%6-%7"/>
      <w:lvlJc w:val="left"/>
      <w:rPr>
        <w:rFonts w:cs="Times New Roman" w:hint="eastAsia"/>
      </w:rPr>
    </w:lvl>
    <w:lvl w:ilvl="7">
      <w:start w:val="1"/>
      <w:numFmt w:val="decimalFullWidth"/>
      <w:suff w:val="nothing"/>
      <w:lvlText w:val="%1-%2-%3-%4-%5-%6-%7-%8"/>
      <w:lvlJc w:val="left"/>
      <w:rPr>
        <w:rFonts w:cs="Times New Roman" w:hint="eastAsia"/>
      </w:rPr>
    </w:lvl>
    <w:lvl w:ilvl="8">
      <w:start w:val="1"/>
      <w:numFmt w:val="decimalFullWidth"/>
      <w:suff w:val="nothing"/>
      <w:lvlText w:val="%1-%2-%3-%4-%5-%6-%7-%8-%9"/>
      <w:lvlJc w:val="left"/>
      <w:rPr>
        <w:rFonts w:cs="Times New Roman" w:hint="eastAsia"/>
      </w:rPr>
    </w:lvl>
  </w:abstractNum>
  <w:abstractNum w:abstractNumId="18">
    <w:nsid w:val="4EB53FCD"/>
    <w:multiLevelType w:val="multilevel"/>
    <w:tmpl w:val="77465776"/>
    <w:lvl w:ilvl="0">
      <w:start w:val="1"/>
      <w:numFmt w:val="decimal"/>
      <w:lvlText w:val="%1."/>
      <w:lvlJc w:val="left"/>
      <w:pPr>
        <w:ind w:left="420" w:hanging="42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52635775"/>
    <w:multiLevelType w:val="hybridMultilevel"/>
    <w:tmpl w:val="D4381F6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59D041F7"/>
    <w:multiLevelType w:val="multilevel"/>
    <w:tmpl w:val="DC98675E"/>
    <w:lvl w:ilvl="0">
      <w:start w:val="1"/>
      <w:numFmt w:val="decimal"/>
      <w:lvlText w:val="%1."/>
      <w:lvlJc w:val="left"/>
      <w:rPr>
        <w:rFonts w:cs="Times New Roman"/>
      </w:rPr>
    </w:lvl>
    <w:lvl w:ilvl="1">
      <w:start w:val="1"/>
      <w:numFmt w:val="decimalFullWidth"/>
      <w:suff w:val="nothing"/>
      <w:lvlText w:val="%1-%2"/>
      <w:lvlJc w:val="left"/>
      <w:rPr>
        <w:rFonts w:cs="Times New Roman"/>
      </w:rPr>
    </w:lvl>
    <w:lvl w:ilvl="2">
      <w:start w:val="1"/>
      <w:numFmt w:val="decimalFullWidth"/>
      <w:suff w:val="nothing"/>
      <w:lvlText w:val="%1-%2-%3"/>
      <w:lvlJc w:val="left"/>
      <w:rPr>
        <w:rFonts w:cs="Times New Roman"/>
      </w:rPr>
    </w:lvl>
    <w:lvl w:ilvl="3">
      <w:start w:val="1"/>
      <w:numFmt w:val="decimalFullWidth"/>
      <w:suff w:val="nothing"/>
      <w:lvlText w:val="%1-%2-%3-%4"/>
      <w:lvlJc w:val="left"/>
      <w:rPr>
        <w:rFonts w:cs="Times New Roman"/>
      </w:rPr>
    </w:lvl>
    <w:lvl w:ilvl="4">
      <w:start w:val="1"/>
      <w:numFmt w:val="decimalFullWidth"/>
      <w:suff w:val="nothing"/>
      <w:lvlText w:val="%1-%2-%3-%4-%5"/>
      <w:lvlJc w:val="left"/>
      <w:rPr>
        <w:rFonts w:cs="Times New Roman"/>
      </w:rPr>
    </w:lvl>
    <w:lvl w:ilvl="5">
      <w:start w:val="1"/>
      <w:numFmt w:val="decimalFullWidth"/>
      <w:suff w:val="nothing"/>
      <w:lvlText w:val="%1-%2-%3-%4-%5-%6"/>
      <w:lvlJc w:val="left"/>
      <w:rPr>
        <w:rFonts w:cs="Times New Roman"/>
      </w:rPr>
    </w:lvl>
    <w:lvl w:ilvl="6">
      <w:start w:val="1"/>
      <w:numFmt w:val="decimalFullWidth"/>
      <w:suff w:val="nothing"/>
      <w:lvlText w:val="%1-%2-%3-%4-%5-%6-%7"/>
      <w:lvlJc w:val="left"/>
      <w:rPr>
        <w:rFonts w:cs="Times New Roman"/>
      </w:rPr>
    </w:lvl>
    <w:lvl w:ilvl="7">
      <w:start w:val="1"/>
      <w:numFmt w:val="decimalFullWidth"/>
      <w:suff w:val="nothing"/>
      <w:lvlText w:val="%1-%2-%3-%4-%5-%6-%7-%8"/>
      <w:lvlJc w:val="left"/>
      <w:rPr>
        <w:rFonts w:cs="Times New Roman"/>
      </w:rPr>
    </w:lvl>
    <w:lvl w:ilvl="8">
      <w:start w:val="1"/>
      <w:numFmt w:val="decimalFullWidth"/>
      <w:suff w:val="nothing"/>
      <w:lvlText w:val="%1-%2-%3-%4-%5-%6-%7-%8-%9"/>
      <w:lvlJc w:val="left"/>
      <w:rPr>
        <w:rFonts w:cs="Times New Roman"/>
      </w:rPr>
    </w:lvl>
  </w:abstractNum>
  <w:abstractNum w:abstractNumId="21">
    <w:nsid w:val="5ABE0122"/>
    <w:multiLevelType w:val="multilevel"/>
    <w:tmpl w:val="04090021"/>
    <w:lvl w:ilvl="0">
      <w:start w:val="1"/>
      <w:numFmt w:val="decimalFullWidth"/>
      <w:suff w:val="nothing"/>
      <w:lvlText w:val="%1"/>
      <w:lvlJc w:val="left"/>
      <w:rPr>
        <w:rFonts w:cs="Times New Roman"/>
      </w:rPr>
    </w:lvl>
    <w:lvl w:ilvl="1">
      <w:start w:val="1"/>
      <w:numFmt w:val="decimalFullWidth"/>
      <w:suff w:val="nothing"/>
      <w:lvlText w:val="%1-%2"/>
      <w:lvlJc w:val="left"/>
      <w:rPr>
        <w:rFonts w:cs="Times New Roman"/>
      </w:rPr>
    </w:lvl>
    <w:lvl w:ilvl="2">
      <w:start w:val="1"/>
      <w:numFmt w:val="decimalFullWidth"/>
      <w:suff w:val="nothing"/>
      <w:lvlText w:val="%1-%2-%3"/>
      <w:lvlJc w:val="left"/>
      <w:rPr>
        <w:rFonts w:cs="Times New Roman"/>
      </w:rPr>
    </w:lvl>
    <w:lvl w:ilvl="3">
      <w:start w:val="1"/>
      <w:numFmt w:val="decimalFullWidth"/>
      <w:suff w:val="nothing"/>
      <w:lvlText w:val="%1-%2-%3-%4"/>
      <w:lvlJc w:val="left"/>
      <w:rPr>
        <w:rFonts w:cs="Times New Roman"/>
      </w:rPr>
    </w:lvl>
    <w:lvl w:ilvl="4">
      <w:start w:val="1"/>
      <w:numFmt w:val="decimalFullWidth"/>
      <w:suff w:val="nothing"/>
      <w:lvlText w:val="%1-%2-%3-%4-%5"/>
      <w:lvlJc w:val="left"/>
      <w:rPr>
        <w:rFonts w:cs="Times New Roman"/>
      </w:rPr>
    </w:lvl>
    <w:lvl w:ilvl="5">
      <w:start w:val="1"/>
      <w:numFmt w:val="decimalFullWidth"/>
      <w:suff w:val="nothing"/>
      <w:lvlText w:val="%1-%2-%3-%4-%5-%6"/>
      <w:lvlJc w:val="left"/>
      <w:rPr>
        <w:rFonts w:cs="Times New Roman"/>
      </w:rPr>
    </w:lvl>
    <w:lvl w:ilvl="6">
      <w:start w:val="1"/>
      <w:numFmt w:val="decimalFullWidth"/>
      <w:suff w:val="nothing"/>
      <w:lvlText w:val="%1-%2-%3-%4-%5-%6-%7"/>
      <w:lvlJc w:val="left"/>
      <w:rPr>
        <w:rFonts w:cs="Times New Roman"/>
      </w:rPr>
    </w:lvl>
    <w:lvl w:ilvl="7">
      <w:start w:val="1"/>
      <w:numFmt w:val="decimalFullWidth"/>
      <w:suff w:val="nothing"/>
      <w:lvlText w:val="%1-%2-%3-%4-%5-%6-%7-%8"/>
      <w:lvlJc w:val="left"/>
      <w:rPr>
        <w:rFonts w:cs="Times New Roman"/>
      </w:rPr>
    </w:lvl>
    <w:lvl w:ilvl="8">
      <w:start w:val="1"/>
      <w:numFmt w:val="decimalFullWidth"/>
      <w:suff w:val="nothing"/>
      <w:lvlText w:val="%1-%2-%3-%4-%5-%6-%7-%8-%9"/>
      <w:lvlJc w:val="left"/>
      <w:rPr>
        <w:rFonts w:cs="Times New Roman"/>
      </w:rPr>
    </w:lvl>
  </w:abstractNum>
  <w:abstractNum w:abstractNumId="22">
    <w:nsid w:val="6165288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638E784B"/>
    <w:multiLevelType w:val="multilevel"/>
    <w:tmpl w:val="DC98675E"/>
    <w:lvl w:ilvl="0">
      <w:start w:val="1"/>
      <w:numFmt w:val="decimal"/>
      <w:lvlText w:val="%1."/>
      <w:lvlJc w:val="left"/>
      <w:rPr>
        <w:rFonts w:cs="Times New Roman"/>
      </w:rPr>
    </w:lvl>
    <w:lvl w:ilvl="1">
      <w:start w:val="1"/>
      <w:numFmt w:val="decimalFullWidth"/>
      <w:suff w:val="nothing"/>
      <w:lvlText w:val="%1-%2"/>
      <w:lvlJc w:val="left"/>
      <w:rPr>
        <w:rFonts w:cs="Times New Roman"/>
      </w:rPr>
    </w:lvl>
    <w:lvl w:ilvl="2">
      <w:start w:val="1"/>
      <w:numFmt w:val="decimalFullWidth"/>
      <w:suff w:val="nothing"/>
      <w:lvlText w:val="%1-%2-%3"/>
      <w:lvlJc w:val="left"/>
      <w:rPr>
        <w:rFonts w:cs="Times New Roman"/>
      </w:rPr>
    </w:lvl>
    <w:lvl w:ilvl="3">
      <w:start w:val="1"/>
      <w:numFmt w:val="decimalFullWidth"/>
      <w:suff w:val="nothing"/>
      <w:lvlText w:val="%1-%2-%3-%4"/>
      <w:lvlJc w:val="left"/>
      <w:rPr>
        <w:rFonts w:cs="Times New Roman"/>
      </w:rPr>
    </w:lvl>
    <w:lvl w:ilvl="4">
      <w:start w:val="1"/>
      <w:numFmt w:val="decimalFullWidth"/>
      <w:suff w:val="nothing"/>
      <w:lvlText w:val="%1-%2-%3-%4-%5"/>
      <w:lvlJc w:val="left"/>
      <w:rPr>
        <w:rFonts w:cs="Times New Roman"/>
      </w:rPr>
    </w:lvl>
    <w:lvl w:ilvl="5">
      <w:start w:val="1"/>
      <w:numFmt w:val="decimalFullWidth"/>
      <w:suff w:val="nothing"/>
      <w:lvlText w:val="%1-%2-%3-%4-%5-%6"/>
      <w:lvlJc w:val="left"/>
      <w:rPr>
        <w:rFonts w:cs="Times New Roman"/>
      </w:rPr>
    </w:lvl>
    <w:lvl w:ilvl="6">
      <w:start w:val="1"/>
      <w:numFmt w:val="decimalFullWidth"/>
      <w:suff w:val="nothing"/>
      <w:lvlText w:val="%1-%2-%3-%4-%5-%6-%7"/>
      <w:lvlJc w:val="left"/>
      <w:rPr>
        <w:rFonts w:cs="Times New Roman"/>
      </w:rPr>
    </w:lvl>
    <w:lvl w:ilvl="7">
      <w:start w:val="1"/>
      <w:numFmt w:val="decimalFullWidth"/>
      <w:suff w:val="nothing"/>
      <w:lvlText w:val="%1-%2-%3-%4-%5-%6-%7-%8"/>
      <w:lvlJc w:val="left"/>
      <w:rPr>
        <w:rFonts w:cs="Times New Roman"/>
      </w:rPr>
    </w:lvl>
    <w:lvl w:ilvl="8">
      <w:start w:val="1"/>
      <w:numFmt w:val="decimalFullWidth"/>
      <w:suff w:val="nothing"/>
      <w:lvlText w:val="%1-%2-%3-%4-%5-%6-%7-%8-%9"/>
      <w:lvlJc w:val="left"/>
      <w:rPr>
        <w:rFonts w:cs="Times New Roman"/>
      </w:rPr>
    </w:lvl>
  </w:abstractNum>
  <w:abstractNum w:abstractNumId="24">
    <w:nsid w:val="65437D3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677C5C54"/>
    <w:multiLevelType w:val="hybridMultilevel"/>
    <w:tmpl w:val="587C217E"/>
    <w:lvl w:ilvl="0" w:tplc="04090013">
      <w:start w:val="1"/>
      <w:numFmt w:val="upperRoman"/>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6A5B02BD"/>
    <w:multiLevelType w:val="hybridMultilevel"/>
    <w:tmpl w:val="392EF63C"/>
    <w:lvl w:ilvl="0" w:tplc="38767E28">
      <w:start w:val="1"/>
      <w:numFmt w:val="decimalFullWidth"/>
      <w:lvlText w:val="%1."/>
      <w:lvlJc w:val="left"/>
      <w:pPr>
        <w:ind w:left="360" w:hanging="360"/>
      </w:pPr>
      <w:rPr>
        <w:rFonts w:ascii="Times New Roman" w:cs="MS Mincho"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nsid w:val="6AD95631"/>
    <w:multiLevelType w:val="hybridMultilevel"/>
    <w:tmpl w:val="AF968B2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nsid w:val="703A3837"/>
    <w:multiLevelType w:val="hybridMultilevel"/>
    <w:tmpl w:val="3F28734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nsid w:val="707B5D9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nsid w:val="70E968AD"/>
    <w:multiLevelType w:val="multilevel"/>
    <w:tmpl w:val="77465776"/>
    <w:lvl w:ilvl="0">
      <w:start w:val="1"/>
      <w:numFmt w:val="decimal"/>
      <w:lvlText w:val="%1."/>
      <w:lvlJc w:val="left"/>
      <w:pPr>
        <w:ind w:left="420" w:hanging="42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nsid w:val="74D71D61"/>
    <w:multiLevelType w:val="multilevel"/>
    <w:tmpl w:val="4AEA71EA"/>
    <w:lvl w:ilvl="0">
      <w:start w:val="4"/>
      <w:numFmt w:val="decimalFullWidth"/>
      <w:lvlText w:val="%1."/>
      <w:lvlJc w:val="left"/>
      <w:rPr>
        <w:rFonts w:ascii="Times New Roman" w:cs="MS Mincho" w:hint="default"/>
      </w:rPr>
    </w:lvl>
    <w:lvl w:ilvl="1">
      <w:start w:val="1"/>
      <w:numFmt w:val="decimalFullWidth"/>
      <w:suff w:val="nothing"/>
      <w:lvlText w:val="%1-%2"/>
      <w:lvlJc w:val="left"/>
      <w:rPr>
        <w:rFonts w:cs="Times New Roman" w:hint="eastAsia"/>
      </w:rPr>
    </w:lvl>
    <w:lvl w:ilvl="2">
      <w:start w:val="1"/>
      <w:numFmt w:val="decimalFullWidth"/>
      <w:suff w:val="nothing"/>
      <w:lvlText w:val="%1-%2-%3"/>
      <w:lvlJc w:val="left"/>
      <w:rPr>
        <w:rFonts w:cs="Times New Roman" w:hint="eastAsia"/>
      </w:rPr>
    </w:lvl>
    <w:lvl w:ilvl="3">
      <w:start w:val="1"/>
      <w:numFmt w:val="decimalFullWidth"/>
      <w:suff w:val="nothing"/>
      <w:lvlText w:val="%1-%2-%3-%4"/>
      <w:lvlJc w:val="left"/>
      <w:rPr>
        <w:rFonts w:cs="Times New Roman" w:hint="eastAsia"/>
      </w:rPr>
    </w:lvl>
    <w:lvl w:ilvl="4">
      <w:start w:val="1"/>
      <w:numFmt w:val="decimalFullWidth"/>
      <w:suff w:val="nothing"/>
      <w:lvlText w:val="%1-%2-%3-%4-%5"/>
      <w:lvlJc w:val="left"/>
      <w:rPr>
        <w:rFonts w:cs="Times New Roman" w:hint="eastAsia"/>
      </w:rPr>
    </w:lvl>
    <w:lvl w:ilvl="5">
      <w:start w:val="1"/>
      <w:numFmt w:val="decimalFullWidth"/>
      <w:suff w:val="nothing"/>
      <w:lvlText w:val="%1-%2-%3-%4-%5-%6"/>
      <w:lvlJc w:val="left"/>
      <w:rPr>
        <w:rFonts w:cs="Times New Roman" w:hint="eastAsia"/>
      </w:rPr>
    </w:lvl>
    <w:lvl w:ilvl="6">
      <w:start w:val="1"/>
      <w:numFmt w:val="decimalFullWidth"/>
      <w:suff w:val="nothing"/>
      <w:lvlText w:val="%1-%2-%3-%4-%5-%6-%7"/>
      <w:lvlJc w:val="left"/>
      <w:rPr>
        <w:rFonts w:cs="Times New Roman" w:hint="eastAsia"/>
      </w:rPr>
    </w:lvl>
    <w:lvl w:ilvl="7">
      <w:start w:val="1"/>
      <w:numFmt w:val="decimalFullWidth"/>
      <w:suff w:val="nothing"/>
      <w:lvlText w:val="%1-%2-%3-%4-%5-%6-%7-%8"/>
      <w:lvlJc w:val="left"/>
      <w:rPr>
        <w:rFonts w:cs="Times New Roman" w:hint="eastAsia"/>
      </w:rPr>
    </w:lvl>
    <w:lvl w:ilvl="8">
      <w:start w:val="1"/>
      <w:numFmt w:val="decimalFullWidth"/>
      <w:suff w:val="nothing"/>
      <w:lvlText w:val="%1-%2-%3-%4-%5-%6-%7-%8-%9"/>
      <w:lvlJc w:val="left"/>
      <w:rPr>
        <w:rFonts w:cs="Times New Roman" w:hint="eastAsia"/>
      </w:rPr>
    </w:lvl>
  </w:abstractNum>
  <w:abstractNum w:abstractNumId="32">
    <w:nsid w:val="792C549B"/>
    <w:multiLevelType w:val="hybridMultilevel"/>
    <w:tmpl w:val="292ABA22"/>
    <w:lvl w:ilvl="0" w:tplc="04090013">
      <w:start w:val="1"/>
      <w:numFmt w:val="upperRoman"/>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nsid w:val="7D713307"/>
    <w:multiLevelType w:val="hybridMultilevel"/>
    <w:tmpl w:val="3F28734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nsid w:val="7FD437BF"/>
    <w:multiLevelType w:val="multilevel"/>
    <w:tmpl w:val="8AC04A64"/>
    <w:lvl w:ilvl="0">
      <w:start w:val="4"/>
      <w:numFmt w:val="decimalFullWidth"/>
      <w:lvlText w:val="%1."/>
      <w:lvlJc w:val="left"/>
      <w:rPr>
        <w:rFonts w:ascii="Times New Roman" w:cs="MS Mincho" w:hint="default"/>
      </w:rPr>
    </w:lvl>
    <w:lvl w:ilvl="1">
      <w:start w:val="1"/>
      <w:numFmt w:val="decimalFullWidth"/>
      <w:suff w:val="nothing"/>
      <w:lvlText w:val="%1-%2"/>
      <w:lvlJc w:val="left"/>
      <w:rPr>
        <w:rFonts w:cs="Times New Roman" w:hint="eastAsia"/>
      </w:rPr>
    </w:lvl>
    <w:lvl w:ilvl="2">
      <w:start w:val="1"/>
      <w:numFmt w:val="decimalFullWidth"/>
      <w:suff w:val="nothing"/>
      <w:lvlText w:val="%1-%2-%3"/>
      <w:lvlJc w:val="left"/>
      <w:rPr>
        <w:rFonts w:cs="Times New Roman" w:hint="eastAsia"/>
      </w:rPr>
    </w:lvl>
    <w:lvl w:ilvl="3">
      <w:start w:val="1"/>
      <w:numFmt w:val="decimalFullWidth"/>
      <w:suff w:val="nothing"/>
      <w:lvlText w:val="%1-%2-%3-%4"/>
      <w:lvlJc w:val="left"/>
      <w:rPr>
        <w:rFonts w:cs="Times New Roman" w:hint="eastAsia"/>
      </w:rPr>
    </w:lvl>
    <w:lvl w:ilvl="4">
      <w:start w:val="1"/>
      <w:numFmt w:val="decimalFullWidth"/>
      <w:suff w:val="nothing"/>
      <w:lvlText w:val="%1-%2-%3-%4-%5"/>
      <w:lvlJc w:val="left"/>
      <w:rPr>
        <w:rFonts w:cs="Times New Roman" w:hint="eastAsia"/>
      </w:rPr>
    </w:lvl>
    <w:lvl w:ilvl="5">
      <w:start w:val="1"/>
      <w:numFmt w:val="decimalFullWidth"/>
      <w:suff w:val="nothing"/>
      <w:lvlText w:val="%1-%2-%3-%4-%5-%6"/>
      <w:lvlJc w:val="left"/>
      <w:rPr>
        <w:rFonts w:cs="Times New Roman" w:hint="eastAsia"/>
      </w:rPr>
    </w:lvl>
    <w:lvl w:ilvl="6">
      <w:start w:val="1"/>
      <w:numFmt w:val="decimalFullWidth"/>
      <w:suff w:val="nothing"/>
      <w:lvlText w:val="%1-%2-%3-%4-%5-%6-%7"/>
      <w:lvlJc w:val="left"/>
      <w:rPr>
        <w:rFonts w:cs="Times New Roman" w:hint="eastAsia"/>
      </w:rPr>
    </w:lvl>
    <w:lvl w:ilvl="7">
      <w:start w:val="1"/>
      <w:numFmt w:val="decimalFullWidth"/>
      <w:suff w:val="nothing"/>
      <w:lvlText w:val="%1-%2-%3-%4-%5-%6-%7-%8"/>
      <w:lvlJc w:val="left"/>
      <w:rPr>
        <w:rFonts w:cs="Times New Roman" w:hint="eastAsia"/>
      </w:rPr>
    </w:lvl>
    <w:lvl w:ilvl="8">
      <w:start w:val="1"/>
      <w:numFmt w:val="decimalFullWidth"/>
      <w:suff w:val="nothing"/>
      <w:lvlText w:val="%1-%2-%3-%4-%5-%6-%7-%8-%9"/>
      <w:lvlJc w:val="left"/>
      <w:rPr>
        <w:rFonts w:cs="Times New Roman" w:hint="eastAsia"/>
      </w:rPr>
    </w:lvl>
  </w:abstractNum>
  <w:num w:numId="1">
    <w:abstractNumId w:val="25"/>
  </w:num>
  <w:num w:numId="2">
    <w:abstractNumId w:val="9"/>
  </w:num>
  <w:num w:numId="3">
    <w:abstractNumId w:val="12"/>
  </w:num>
  <w:num w:numId="4">
    <w:abstractNumId w:val="32"/>
  </w:num>
  <w:num w:numId="5">
    <w:abstractNumId w:val="21"/>
  </w:num>
  <w:num w:numId="6">
    <w:abstractNumId w:val="14"/>
  </w:num>
  <w:num w:numId="7">
    <w:abstractNumId w:val="2"/>
  </w:num>
  <w:num w:numId="8">
    <w:abstractNumId w:val="11"/>
  </w:num>
  <w:num w:numId="9">
    <w:abstractNumId w:val="8"/>
  </w:num>
  <w:num w:numId="10">
    <w:abstractNumId w:val="1"/>
  </w:num>
  <w:num w:numId="11">
    <w:abstractNumId w:val="3"/>
  </w:num>
  <w:num w:numId="12">
    <w:abstractNumId w:val="20"/>
  </w:num>
  <w:num w:numId="13">
    <w:abstractNumId w:val="23"/>
  </w:num>
  <w:num w:numId="14">
    <w:abstractNumId w:val="15"/>
  </w:num>
  <w:num w:numId="15">
    <w:abstractNumId w:val="26"/>
  </w:num>
  <w:num w:numId="16">
    <w:abstractNumId w:val="4"/>
  </w:num>
  <w:num w:numId="17">
    <w:abstractNumId w:val="10"/>
  </w:num>
  <w:num w:numId="18">
    <w:abstractNumId w:val="6"/>
  </w:num>
  <w:num w:numId="19">
    <w:abstractNumId w:val="13"/>
  </w:num>
  <w:num w:numId="20">
    <w:abstractNumId w:val="34"/>
  </w:num>
  <w:num w:numId="21">
    <w:abstractNumId w:val="31"/>
  </w:num>
  <w:num w:numId="22">
    <w:abstractNumId w:val="17"/>
  </w:num>
  <w:num w:numId="23">
    <w:abstractNumId w:val="28"/>
  </w:num>
  <w:num w:numId="24">
    <w:abstractNumId w:val="33"/>
  </w:num>
  <w:num w:numId="25">
    <w:abstractNumId w:val="0"/>
  </w:num>
  <w:num w:numId="26">
    <w:abstractNumId w:val="27"/>
  </w:num>
  <w:num w:numId="27">
    <w:abstractNumId w:val="19"/>
  </w:num>
  <w:num w:numId="28">
    <w:abstractNumId w:val="7"/>
  </w:num>
  <w:num w:numId="29">
    <w:abstractNumId w:val="22"/>
  </w:num>
  <w:num w:numId="30">
    <w:abstractNumId w:val="24"/>
  </w:num>
  <w:num w:numId="31">
    <w:abstractNumId w:val="16"/>
  </w:num>
  <w:num w:numId="32">
    <w:abstractNumId w:val="5"/>
  </w:num>
  <w:num w:numId="33">
    <w:abstractNumId w:val="29"/>
  </w:num>
  <w:num w:numId="34">
    <w:abstractNumId w:val="30"/>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7"/>
  <w:drawingGridVerticalSpacing w:val="156"/>
  <w:displayHorizontalDrawingGridEvery w:val="0"/>
  <w:displayVerticalDrawingGridEvery w:val="2"/>
  <w:characterSpacingControl w:val="compressPunctuation"/>
  <w:hdrShapeDefaults>
    <o:shapedefaults v:ext="edit" spidmax="196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2723"/>
    <w:rsid w:val="00010485"/>
    <w:rsid w:val="000105BA"/>
    <w:rsid w:val="000140F4"/>
    <w:rsid w:val="00022F93"/>
    <w:rsid w:val="000239AB"/>
    <w:rsid w:val="00026F3C"/>
    <w:rsid w:val="00027C53"/>
    <w:rsid w:val="000349C8"/>
    <w:rsid w:val="00043F29"/>
    <w:rsid w:val="00046260"/>
    <w:rsid w:val="00047577"/>
    <w:rsid w:val="000507A2"/>
    <w:rsid w:val="000561EE"/>
    <w:rsid w:val="0006198C"/>
    <w:rsid w:val="00062345"/>
    <w:rsid w:val="00062EEC"/>
    <w:rsid w:val="00065C07"/>
    <w:rsid w:val="00066BB4"/>
    <w:rsid w:val="00073436"/>
    <w:rsid w:val="000821AF"/>
    <w:rsid w:val="00086BC8"/>
    <w:rsid w:val="00086BFB"/>
    <w:rsid w:val="00093BA3"/>
    <w:rsid w:val="000A5482"/>
    <w:rsid w:val="000A744D"/>
    <w:rsid w:val="000B0869"/>
    <w:rsid w:val="000B3B74"/>
    <w:rsid w:val="000C3A61"/>
    <w:rsid w:val="000C4EF6"/>
    <w:rsid w:val="000C5AF3"/>
    <w:rsid w:val="000D0187"/>
    <w:rsid w:val="000D4600"/>
    <w:rsid w:val="000D5789"/>
    <w:rsid w:val="000D6311"/>
    <w:rsid w:val="000D7858"/>
    <w:rsid w:val="000E4D0F"/>
    <w:rsid w:val="000F41C0"/>
    <w:rsid w:val="000F46FF"/>
    <w:rsid w:val="00100309"/>
    <w:rsid w:val="00107FE1"/>
    <w:rsid w:val="00114A22"/>
    <w:rsid w:val="001253CE"/>
    <w:rsid w:val="00127AF4"/>
    <w:rsid w:val="00127F25"/>
    <w:rsid w:val="00135A97"/>
    <w:rsid w:val="00135BDC"/>
    <w:rsid w:val="0013712B"/>
    <w:rsid w:val="0014346C"/>
    <w:rsid w:val="0014637A"/>
    <w:rsid w:val="00147011"/>
    <w:rsid w:val="00147117"/>
    <w:rsid w:val="0014745E"/>
    <w:rsid w:val="001527E5"/>
    <w:rsid w:val="00161178"/>
    <w:rsid w:val="00161A56"/>
    <w:rsid w:val="001626DA"/>
    <w:rsid w:val="00163BDB"/>
    <w:rsid w:val="00163E1F"/>
    <w:rsid w:val="00165940"/>
    <w:rsid w:val="00172DCA"/>
    <w:rsid w:val="00173B33"/>
    <w:rsid w:val="00175BCE"/>
    <w:rsid w:val="001763A5"/>
    <w:rsid w:val="00181C2D"/>
    <w:rsid w:val="00182065"/>
    <w:rsid w:val="00190594"/>
    <w:rsid w:val="00192CFF"/>
    <w:rsid w:val="001958AB"/>
    <w:rsid w:val="00195C37"/>
    <w:rsid w:val="001A288C"/>
    <w:rsid w:val="001A3EC1"/>
    <w:rsid w:val="001C0000"/>
    <w:rsid w:val="001C5623"/>
    <w:rsid w:val="001D2772"/>
    <w:rsid w:val="001D5199"/>
    <w:rsid w:val="001D6403"/>
    <w:rsid w:val="001D7FD0"/>
    <w:rsid w:val="001E121E"/>
    <w:rsid w:val="001E3794"/>
    <w:rsid w:val="001E4502"/>
    <w:rsid w:val="001E4A5F"/>
    <w:rsid w:val="001F0251"/>
    <w:rsid w:val="001F1074"/>
    <w:rsid w:val="001F3A20"/>
    <w:rsid w:val="001F4B41"/>
    <w:rsid w:val="0020500F"/>
    <w:rsid w:val="00205DD8"/>
    <w:rsid w:val="00210D06"/>
    <w:rsid w:val="00211498"/>
    <w:rsid w:val="00212421"/>
    <w:rsid w:val="00212708"/>
    <w:rsid w:val="00212AAA"/>
    <w:rsid w:val="00223318"/>
    <w:rsid w:val="00227BBE"/>
    <w:rsid w:val="00234B93"/>
    <w:rsid w:val="0024241A"/>
    <w:rsid w:val="00245069"/>
    <w:rsid w:val="00245ACB"/>
    <w:rsid w:val="00253524"/>
    <w:rsid w:val="002549B2"/>
    <w:rsid w:val="00257518"/>
    <w:rsid w:val="00257D35"/>
    <w:rsid w:val="0026000D"/>
    <w:rsid w:val="0026344E"/>
    <w:rsid w:val="0026411D"/>
    <w:rsid w:val="00267B0D"/>
    <w:rsid w:val="00272411"/>
    <w:rsid w:val="00277EB7"/>
    <w:rsid w:val="00281B3B"/>
    <w:rsid w:val="002830F0"/>
    <w:rsid w:val="00287E14"/>
    <w:rsid w:val="0029179A"/>
    <w:rsid w:val="00295380"/>
    <w:rsid w:val="002A38C7"/>
    <w:rsid w:val="002A56DC"/>
    <w:rsid w:val="002A7BED"/>
    <w:rsid w:val="002B28CE"/>
    <w:rsid w:val="002B627A"/>
    <w:rsid w:val="002C5F75"/>
    <w:rsid w:val="002C62CA"/>
    <w:rsid w:val="002D03C9"/>
    <w:rsid w:val="002D0BA1"/>
    <w:rsid w:val="002D1C9B"/>
    <w:rsid w:val="002D43A9"/>
    <w:rsid w:val="002D7EC5"/>
    <w:rsid w:val="002E1405"/>
    <w:rsid w:val="002E2EE0"/>
    <w:rsid w:val="002E310A"/>
    <w:rsid w:val="002E6EED"/>
    <w:rsid w:val="002F0907"/>
    <w:rsid w:val="002F7CFC"/>
    <w:rsid w:val="00301169"/>
    <w:rsid w:val="00302650"/>
    <w:rsid w:val="00305BA2"/>
    <w:rsid w:val="00317135"/>
    <w:rsid w:val="00317A55"/>
    <w:rsid w:val="00320720"/>
    <w:rsid w:val="00323F52"/>
    <w:rsid w:val="003266ED"/>
    <w:rsid w:val="00333761"/>
    <w:rsid w:val="00340CC1"/>
    <w:rsid w:val="003539D9"/>
    <w:rsid w:val="00362038"/>
    <w:rsid w:val="00365BD3"/>
    <w:rsid w:val="00372865"/>
    <w:rsid w:val="00377ABD"/>
    <w:rsid w:val="00380E8E"/>
    <w:rsid w:val="003953AF"/>
    <w:rsid w:val="00397B6E"/>
    <w:rsid w:val="003A2227"/>
    <w:rsid w:val="003B1A5D"/>
    <w:rsid w:val="003B2492"/>
    <w:rsid w:val="003C1F80"/>
    <w:rsid w:val="003C75E4"/>
    <w:rsid w:val="003D273F"/>
    <w:rsid w:val="003D27EC"/>
    <w:rsid w:val="003D4940"/>
    <w:rsid w:val="003E053B"/>
    <w:rsid w:val="003E2035"/>
    <w:rsid w:val="003E444C"/>
    <w:rsid w:val="003F75F9"/>
    <w:rsid w:val="00400F03"/>
    <w:rsid w:val="004016D4"/>
    <w:rsid w:val="00405B42"/>
    <w:rsid w:val="00405BF7"/>
    <w:rsid w:val="00412023"/>
    <w:rsid w:val="00412729"/>
    <w:rsid w:val="004144F6"/>
    <w:rsid w:val="00420D0F"/>
    <w:rsid w:val="004212BA"/>
    <w:rsid w:val="00422723"/>
    <w:rsid w:val="00422BD2"/>
    <w:rsid w:val="00423FF4"/>
    <w:rsid w:val="00424F69"/>
    <w:rsid w:val="00426290"/>
    <w:rsid w:val="00443DDA"/>
    <w:rsid w:val="00444717"/>
    <w:rsid w:val="00456232"/>
    <w:rsid w:val="00456AC3"/>
    <w:rsid w:val="00462089"/>
    <w:rsid w:val="00462BBC"/>
    <w:rsid w:val="00471928"/>
    <w:rsid w:val="00472E89"/>
    <w:rsid w:val="004776B0"/>
    <w:rsid w:val="004847EF"/>
    <w:rsid w:val="00486CBE"/>
    <w:rsid w:val="004875D2"/>
    <w:rsid w:val="00494E02"/>
    <w:rsid w:val="00495946"/>
    <w:rsid w:val="0049759C"/>
    <w:rsid w:val="004A129F"/>
    <w:rsid w:val="004A20F7"/>
    <w:rsid w:val="004A408F"/>
    <w:rsid w:val="004A57F7"/>
    <w:rsid w:val="004B00DA"/>
    <w:rsid w:val="004B2A98"/>
    <w:rsid w:val="004B4F07"/>
    <w:rsid w:val="004B7783"/>
    <w:rsid w:val="004C3251"/>
    <w:rsid w:val="004C7E99"/>
    <w:rsid w:val="004D261D"/>
    <w:rsid w:val="004D4577"/>
    <w:rsid w:val="004D5EFD"/>
    <w:rsid w:val="004E5630"/>
    <w:rsid w:val="004E64C4"/>
    <w:rsid w:val="004F0A49"/>
    <w:rsid w:val="004F268D"/>
    <w:rsid w:val="004F40AC"/>
    <w:rsid w:val="004F51D6"/>
    <w:rsid w:val="00502008"/>
    <w:rsid w:val="00503CDF"/>
    <w:rsid w:val="00504EC8"/>
    <w:rsid w:val="00513190"/>
    <w:rsid w:val="00513B31"/>
    <w:rsid w:val="005144C4"/>
    <w:rsid w:val="00517865"/>
    <w:rsid w:val="00517FFC"/>
    <w:rsid w:val="00521CD6"/>
    <w:rsid w:val="00522A5C"/>
    <w:rsid w:val="00523167"/>
    <w:rsid w:val="005236C7"/>
    <w:rsid w:val="00530F98"/>
    <w:rsid w:val="00532275"/>
    <w:rsid w:val="0053526F"/>
    <w:rsid w:val="0054247E"/>
    <w:rsid w:val="00542D5F"/>
    <w:rsid w:val="0054316E"/>
    <w:rsid w:val="00547BBB"/>
    <w:rsid w:val="00550867"/>
    <w:rsid w:val="00550FD6"/>
    <w:rsid w:val="00553F71"/>
    <w:rsid w:val="00556566"/>
    <w:rsid w:val="0056153C"/>
    <w:rsid w:val="0057434E"/>
    <w:rsid w:val="00575281"/>
    <w:rsid w:val="00582E0D"/>
    <w:rsid w:val="00591F46"/>
    <w:rsid w:val="005934A5"/>
    <w:rsid w:val="005973CB"/>
    <w:rsid w:val="005A16B9"/>
    <w:rsid w:val="005A4849"/>
    <w:rsid w:val="005B4E8B"/>
    <w:rsid w:val="005B5D36"/>
    <w:rsid w:val="005B61FE"/>
    <w:rsid w:val="005B6AFF"/>
    <w:rsid w:val="005C4A78"/>
    <w:rsid w:val="005D2BBF"/>
    <w:rsid w:val="005D2C92"/>
    <w:rsid w:val="005D43F7"/>
    <w:rsid w:val="005D74B9"/>
    <w:rsid w:val="005E1D28"/>
    <w:rsid w:val="005E2E70"/>
    <w:rsid w:val="005E3AF6"/>
    <w:rsid w:val="005E4766"/>
    <w:rsid w:val="006020E4"/>
    <w:rsid w:val="006025D5"/>
    <w:rsid w:val="006072A1"/>
    <w:rsid w:val="006152F9"/>
    <w:rsid w:val="00616E4F"/>
    <w:rsid w:val="00624690"/>
    <w:rsid w:val="00627333"/>
    <w:rsid w:val="00630D26"/>
    <w:rsid w:val="00640366"/>
    <w:rsid w:val="00642D81"/>
    <w:rsid w:val="00647027"/>
    <w:rsid w:val="00651D93"/>
    <w:rsid w:val="00657EB9"/>
    <w:rsid w:val="006622E8"/>
    <w:rsid w:val="00666E2E"/>
    <w:rsid w:val="00667051"/>
    <w:rsid w:val="00674EC1"/>
    <w:rsid w:val="00677F83"/>
    <w:rsid w:val="00685377"/>
    <w:rsid w:val="0068669F"/>
    <w:rsid w:val="0069034E"/>
    <w:rsid w:val="006915EC"/>
    <w:rsid w:val="006A6321"/>
    <w:rsid w:val="006A7E88"/>
    <w:rsid w:val="006B49BC"/>
    <w:rsid w:val="006B6AC1"/>
    <w:rsid w:val="006C76B4"/>
    <w:rsid w:val="006D274B"/>
    <w:rsid w:val="006D3368"/>
    <w:rsid w:val="006D5FA8"/>
    <w:rsid w:val="006E4CCC"/>
    <w:rsid w:val="006F5F20"/>
    <w:rsid w:val="00701B96"/>
    <w:rsid w:val="007045C8"/>
    <w:rsid w:val="007101C8"/>
    <w:rsid w:val="00710BE5"/>
    <w:rsid w:val="00714CCB"/>
    <w:rsid w:val="00737864"/>
    <w:rsid w:val="00743696"/>
    <w:rsid w:val="007448C0"/>
    <w:rsid w:val="00752CD0"/>
    <w:rsid w:val="0078394A"/>
    <w:rsid w:val="0078438D"/>
    <w:rsid w:val="007852A5"/>
    <w:rsid w:val="0078753E"/>
    <w:rsid w:val="00796AA2"/>
    <w:rsid w:val="007A0B94"/>
    <w:rsid w:val="007A10A0"/>
    <w:rsid w:val="007B2ADD"/>
    <w:rsid w:val="007B35F2"/>
    <w:rsid w:val="007B38B5"/>
    <w:rsid w:val="007B44F2"/>
    <w:rsid w:val="007B6558"/>
    <w:rsid w:val="007B6A5B"/>
    <w:rsid w:val="007B75FA"/>
    <w:rsid w:val="007C168F"/>
    <w:rsid w:val="007D270E"/>
    <w:rsid w:val="007D5917"/>
    <w:rsid w:val="007D7735"/>
    <w:rsid w:val="007E0863"/>
    <w:rsid w:val="007E32EC"/>
    <w:rsid w:val="007E752E"/>
    <w:rsid w:val="007F76D3"/>
    <w:rsid w:val="00812548"/>
    <w:rsid w:val="008201EE"/>
    <w:rsid w:val="00825E2D"/>
    <w:rsid w:val="00831F5B"/>
    <w:rsid w:val="00833F9F"/>
    <w:rsid w:val="008351D5"/>
    <w:rsid w:val="00837DA1"/>
    <w:rsid w:val="00840A87"/>
    <w:rsid w:val="0085117C"/>
    <w:rsid w:val="0085431A"/>
    <w:rsid w:val="00855D0D"/>
    <w:rsid w:val="0085768A"/>
    <w:rsid w:val="00857A4C"/>
    <w:rsid w:val="00864BEA"/>
    <w:rsid w:val="0086511F"/>
    <w:rsid w:val="0089129D"/>
    <w:rsid w:val="00895B55"/>
    <w:rsid w:val="00896591"/>
    <w:rsid w:val="008B07B8"/>
    <w:rsid w:val="008B3284"/>
    <w:rsid w:val="008B6646"/>
    <w:rsid w:val="008C0834"/>
    <w:rsid w:val="008D0828"/>
    <w:rsid w:val="008E3551"/>
    <w:rsid w:val="008E5B4F"/>
    <w:rsid w:val="008F289A"/>
    <w:rsid w:val="008F39E1"/>
    <w:rsid w:val="009009E1"/>
    <w:rsid w:val="009022A7"/>
    <w:rsid w:val="009029B2"/>
    <w:rsid w:val="009058CC"/>
    <w:rsid w:val="00912DCE"/>
    <w:rsid w:val="009135BA"/>
    <w:rsid w:val="00923A30"/>
    <w:rsid w:val="009243B7"/>
    <w:rsid w:val="00925CDF"/>
    <w:rsid w:val="00927404"/>
    <w:rsid w:val="009310FD"/>
    <w:rsid w:val="0093240A"/>
    <w:rsid w:val="009331F6"/>
    <w:rsid w:val="00940FFA"/>
    <w:rsid w:val="0094116E"/>
    <w:rsid w:val="009416E8"/>
    <w:rsid w:val="00941F8A"/>
    <w:rsid w:val="0094464F"/>
    <w:rsid w:val="009455C0"/>
    <w:rsid w:val="0094594C"/>
    <w:rsid w:val="009465CC"/>
    <w:rsid w:val="00946787"/>
    <w:rsid w:val="00946E54"/>
    <w:rsid w:val="0095201C"/>
    <w:rsid w:val="00954124"/>
    <w:rsid w:val="009558E2"/>
    <w:rsid w:val="00955E99"/>
    <w:rsid w:val="009577C9"/>
    <w:rsid w:val="009644C0"/>
    <w:rsid w:val="00967718"/>
    <w:rsid w:val="00970FF5"/>
    <w:rsid w:val="0097605A"/>
    <w:rsid w:val="00980186"/>
    <w:rsid w:val="00984C50"/>
    <w:rsid w:val="0098635A"/>
    <w:rsid w:val="00986614"/>
    <w:rsid w:val="00991A57"/>
    <w:rsid w:val="00997FD3"/>
    <w:rsid w:val="009A1E3C"/>
    <w:rsid w:val="009A23FA"/>
    <w:rsid w:val="009A3BA4"/>
    <w:rsid w:val="009A465D"/>
    <w:rsid w:val="009A6098"/>
    <w:rsid w:val="009A6B92"/>
    <w:rsid w:val="009B4551"/>
    <w:rsid w:val="009C000F"/>
    <w:rsid w:val="009C6087"/>
    <w:rsid w:val="009D1D17"/>
    <w:rsid w:val="00A0212D"/>
    <w:rsid w:val="00A02558"/>
    <w:rsid w:val="00A0430B"/>
    <w:rsid w:val="00A15979"/>
    <w:rsid w:val="00A21D3A"/>
    <w:rsid w:val="00A24063"/>
    <w:rsid w:val="00A273EB"/>
    <w:rsid w:val="00A31901"/>
    <w:rsid w:val="00A33A98"/>
    <w:rsid w:val="00A34371"/>
    <w:rsid w:val="00A3544D"/>
    <w:rsid w:val="00A370C4"/>
    <w:rsid w:val="00A37BEA"/>
    <w:rsid w:val="00A41B99"/>
    <w:rsid w:val="00A45B9F"/>
    <w:rsid w:val="00A51C51"/>
    <w:rsid w:val="00A701F7"/>
    <w:rsid w:val="00A948FC"/>
    <w:rsid w:val="00AA1D03"/>
    <w:rsid w:val="00AA1DDC"/>
    <w:rsid w:val="00AA47C3"/>
    <w:rsid w:val="00AB0660"/>
    <w:rsid w:val="00AB1D5A"/>
    <w:rsid w:val="00AB63C8"/>
    <w:rsid w:val="00AB6944"/>
    <w:rsid w:val="00AC031C"/>
    <w:rsid w:val="00AC0AF7"/>
    <w:rsid w:val="00AC0E0E"/>
    <w:rsid w:val="00AC1AB2"/>
    <w:rsid w:val="00AC6824"/>
    <w:rsid w:val="00AC791B"/>
    <w:rsid w:val="00AD58F1"/>
    <w:rsid w:val="00AE36F1"/>
    <w:rsid w:val="00AF3C41"/>
    <w:rsid w:val="00B030B4"/>
    <w:rsid w:val="00B0472A"/>
    <w:rsid w:val="00B07459"/>
    <w:rsid w:val="00B10312"/>
    <w:rsid w:val="00B1186D"/>
    <w:rsid w:val="00B16035"/>
    <w:rsid w:val="00B240D5"/>
    <w:rsid w:val="00B305AD"/>
    <w:rsid w:val="00B309B2"/>
    <w:rsid w:val="00B31F38"/>
    <w:rsid w:val="00B333C6"/>
    <w:rsid w:val="00B3657D"/>
    <w:rsid w:val="00B36F23"/>
    <w:rsid w:val="00B37732"/>
    <w:rsid w:val="00B41D88"/>
    <w:rsid w:val="00B435E8"/>
    <w:rsid w:val="00B437B6"/>
    <w:rsid w:val="00B45429"/>
    <w:rsid w:val="00B501A1"/>
    <w:rsid w:val="00B53FFE"/>
    <w:rsid w:val="00B5676A"/>
    <w:rsid w:val="00B626D2"/>
    <w:rsid w:val="00B64628"/>
    <w:rsid w:val="00B709DD"/>
    <w:rsid w:val="00B76908"/>
    <w:rsid w:val="00B7695E"/>
    <w:rsid w:val="00B77585"/>
    <w:rsid w:val="00B80B91"/>
    <w:rsid w:val="00B81E1C"/>
    <w:rsid w:val="00B857F2"/>
    <w:rsid w:val="00B9257B"/>
    <w:rsid w:val="00B93451"/>
    <w:rsid w:val="00B937FC"/>
    <w:rsid w:val="00B968F3"/>
    <w:rsid w:val="00BA200D"/>
    <w:rsid w:val="00BA34FD"/>
    <w:rsid w:val="00BA714A"/>
    <w:rsid w:val="00BB0301"/>
    <w:rsid w:val="00BB6973"/>
    <w:rsid w:val="00BC65FB"/>
    <w:rsid w:val="00BD6BFF"/>
    <w:rsid w:val="00BE1782"/>
    <w:rsid w:val="00BF194B"/>
    <w:rsid w:val="00BF1A6E"/>
    <w:rsid w:val="00BF34B6"/>
    <w:rsid w:val="00BF36BB"/>
    <w:rsid w:val="00BF4F9E"/>
    <w:rsid w:val="00C024CA"/>
    <w:rsid w:val="00C06B1B"/>
    <w:rsid w:val="00C139CD"/>
    <w:rsid w:val="00C22B44"/>
    <w:rsid w:val="00C23C5B"/>
    <w:rsid w:val="00C2664C"/>
    <w:rsid w:val="00C30A0C"/>
    <w:rsid w:val="00C313E8"/>
    <w:rsid w:val="00C33703"/>
    <w:rsid w:val="00C458A5"/>
    <w:rsid w:val="00C4612D"/>
    <w:rsid w:val="00C51D45"/>
    <w:rsid w:val="00C52E00"/>
    <w:rsid w:val="00C7389F"/>
    <w:rsid w:val="00C80131"/>
    <w:rsid w:val="00C81A13"/>
    <w:rsid w:val="00C86EAA"/>
    <w:rsid w:val="00C90238"/>
    <w:rsid w:val="00C9239A"/>
    <w:rsid w:val="00C95EA0"/>
    <w:rsid w:val="00C968F8"/>
    <w:rsid w:val="00C971E9"/>
    <w:rsid w:val="00CA2370"/>
    <w:rsid w:val="00CA3882"/>
    <w:rsid w:val="00CA46B1"/>
    <w:rsid w:val="00CA489E"/>
    <w:rsid w:val="00CB1910"/>
    <w:rsid w:val="00CB3B2E"/>
    <w:rsid w:val="00CC2BED"/>
    <w:rsid w:val="00CC3365"/>
    <w:rsid w:val="00CC3911"/>
    <w:rsid w:val="00CC3E35"/>
    <w:rsid w:val="00CC6E1A"/>
    <w:rsid w:val="00CD341C"/>
    <w:rsid w:val="00CD55CE"/>
    <w:rsid w:val="00CE00E3"/>
    <w:rsid w:val="00CE4DDD"/>
    <w:rsid w:val="00CF26DE"/>
    <w:rsid w:val="00CF5F25"/>
    <w:rsid w:val="00D035C6"/>
    <w:rsid w:val="00D21831"/>
    <w:rsid w:val="00D23B15"/>
    <w:rsid w:val="00D25928"/>
    <w:rsid w:val="00D3495B"/>
    <w:rsid w:val="00D4520C"/>
    <w:rsid w:val="00D47071"/>
    <w:rsid w:val="00D51C66"/>
    <w:rsid w:val="00D53A72"/>
    <w:rsid w:val="00D5423A"/>
    <w:rsid w:val="00D55ABF"/>
    <w:rsid w:val="00D566FD"/>
    <w:rsid w:val="00D634D5"/>
    <w:rsid w:val="00D64B6E"/>
    <w:rsid w:val="00D656AC"/>
    <w:rsid w:val="00D736D1"/>
    <w:rsid w:val="00D776D4"/>
    <w:rsid w:val="00D7795A"/>
    <w:rsid w:val="00D801F0"/>
    <w:rsid w:val="00D83465"/>
    <w:rsid w:val="00D85E3F"/>
    <w:rsid w:val="00DA13C0"/>
    <w:rsid w:val="00DA2EF6"/>
    <w:rsid w:val="00DA323A"/>
    <w:rsid w:val="00DA68F2"/>
    <w:rsid w:val="00DA7932"/>
    <w:rsid w:val="00DA79EF"/>
    <w:rsid w:val="00DB6CB9"/>
    <w:rsid w:val="00DB7231"/>
    <w:rsid w:val="00DC0309"/>
    <w:rsid w:val="00DD5EE9"/>
    <w:rsid w:val="00DE04CD"/>
    <w:rsid w:val="00DE0DDD"/>
    <w:rsid w:val="00DE0FF5"/>
    <w:rsid w:val="00DE261A"/>
    <w:rsid w:val="00DF4278"/>
    <w:rsid w:val="00DF4E49"/>
    <w:rsid w:val="00DF570C"/>
    <w:rsid w:val="00DF5967"/>
    <w:rsid w:val="00E12148"/>
    <w:rsid w:val="00E16E79"/>
    <w:rsid w:val="00E2653C"/>
    <w:rsid w:val="00E373D4"/>
    <w:rsid w:val="00E41D9F"/>
    <w:rsid w:val="00E4715C"/>
    <w:rsid w:val="00E50241"/>
    <w:rsid w:val="00E51E02"/>
    <w:rsid w:val="00E52300"/>
    <w:rsid w:val="00E54E75"/>
    <w:rsid w:val="00E57941"/>
    <w:rsid w:val="00E57F36"/>
    <w:rsid w:val="00E617FB"/>
    <w:rsid w:val="00E63543"/>
    <w:rsid w:val="00E729A3"/>
    <w:rsid w:val="00E824CC"/>
    <w:rsid w:val="00E82E2C"/>
    <w:rsid w:val="00E84BDD"/>
    <w:rsid w:val="00E84FEF"/>
    <w:rsid w:val="00E85336"/>
    <w:rsid w:val="00E87854"/>
    <w:rsid w:val="00E90104"/>
    <w:rsid w:val="00E931B9"/>
    <w:rsid w:val="00E948CC"/>
    <w:rsid w:val="00E94ACF"/>
    <w:rsid w:val="00E96B26"/>
    <w:rsid w:val="00EA7302"/>
    <w:rsid w:val="00EB11E2"/>
    <w:rsid w:val="00EB2222"/>
    <w:rsid w:val="00EB375E"/>
    <w:rsid w:val="00EB53F6"/>
    <w:rsid w:val="00EC4D2D"/>
    <w:rsid w:val="00EC5C7C"/>
    <w:rsid w:val="00ED24EE"/>
    <w:rsid w:val="00ED3680"/>
    <w:rsid w:val="00ED4D2F"/>
    <w:rsid w:val="00EE23C6"/>
    <w:rsid w:val="00EE4633"/>
    <w:rsid w:val="00EF0713"/>
    <w:rsid w:val="00EF31BA"/>
    <w:rsid w:val="00EF7939"/>
    <w:rsid w:val="00F134E7"/>
    <w:rsid w:val="00F21206"/>
    <w:rsid w:val="00F24A80"/>
    <w:rsid w:val="00F251A7"/>
    <w:rsid w:val="00F27C2F"/>
    <w:rsid w:val="00F350C6"/>
    <w:rsid w:val="00F37024"/>
    <w:rsid w:val="00F42131"/>
    <w:rsid w:val="00F429CB"/>
    <w:rsid w:val="00F46484"/>
    <w:rsid w:val="00F548EB"/>
    <w:rsid w:val="00F55802"/>
    <w:rsid w:val="00F560AF"/>
    <w:rsid w:val="00F57FAD"/>
    <w:rsid w:val="00F60066"/>
    <w:rsid w:val="00F6056A"/>
    <w:rsid w:val="00F757BA"/>
    <w:rsid w:val="00F76701"/>
    <w:rsid w:val="00F770CD"/>
    <w:rsid w:val="00F80191"/>
    <w:rsid w:val="00F80505"/>
    <w:rsid w:val="00F82199"/>
    <w:rsid w:val="00F94425"/>
    <w:rsid w:val="00F96667"/>
    <w:rsid w:val="00F96C13"/>
    <w:rsid w:val="00F9741D"/>
    <w:rsid w:val="00FA03AF"/>
    <w:rsid w:val="00FA0A2F"/>
    <w:rsid w:val="00FA2AF7"/>
    <w:rsid w:val="00FA4038"/>
    <w:rsid w:val="00FA520D"/>
    <w:rsid w:val="00FA6E9D"/>
    <w:rsid w:val="00FB19A2"/>
    <w:rsid w:val="00FB4278"/>
    <w:rsid w:val="00FB450F"/>
    <w:rsid w:val="00FB4571"/>
    <w:rsid w:val="00FC44C5"/>
    <w:rsid w:val="00FC7E67"/>
    <w:rsid w:val="00FD3DF3"/>
    <w:rsid w:val="00FD41CA"/>
    <w:rsid w:val="00FE4E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723"/>
    <w:pPr>
      <w:widowControl w:val="0"/>
      <w:ind w:firstLineChars="200" w:firstLine="200"/>
    </w:pPr>
    <w:rPr>
      <w:rFonts w:ascii="Times New Roman" w:eastAsia="宋体" w:hAnsi="Times New Roman" w:cs="Times New Roman"/>
      <w:szCs w:val="21"/>
    </w:rPr>
  </w:style>
  <w:style w:type="paragraph" w:styleId="1">
    <w:name w:val="heading 1"/>
    <w:basedOn w:val="a"/>
    <w:next w:val="a"/>
    <w:link w:val="1Char"/>
    <w:qFormat/>
    <w:rsid w:val="00C971E9"/>
    <w:pPr>
      <w:keepNext/>
      <w:keepLines/>
      <w:widowControl/>
      <w:spacing w:before="480" w:after="480" w:line="276" w:lineRule="auto"/>
      <w:ind w:left="792" w:firstLineChars="0" w:hanging="432"/>
      <w:jc w:val="center"/>
      <w:outlineLvl w:val="0"/>
    </w:pPr>
    <w:rPr>
      <w:rFonts w:eastAsia="Times New Roman"/>
      <w:b/>
      <w:bCs/>
      <w:kern w:val="0"/>
      <w:sz w:val="24"/>
      <w:szCs w:val="28"/>
      <w:lang w:eastAsia="en-US"/>
    </w:rPr>
  </w:style>
  <w:style w:type="paragraph" w:styleId="2">
    <w:name w:val="heading 2"/>
    <w:basedOn w:val="2011-1"/>
    <w:next w:val="a"/>
    <w:link w:val="2Char"/>
    <w:unhideWhenUsed/>
    <w:qFormat/>
    <w:rsid w:val="003A2227"/>
    <w:pPr>
      <w:spacing w:beforeLines="20" w:after="30"/>
      <w:ind w:firstLineChars="0" w:firstLine="0"/>
      <w:jc w:val="left"/>
      <w:outlineLvl w:val="1"/>
    </w:pPr>
    <w:rPr>
      <w:b/>
      <w:bCs/>
    </w:rPr>
  </w:style>
  <w:style w:type="paragraph" w:styleId="3">
    <w:name w:val="heading 3"/>
    <w:basedOn w:val="a"/>
    <w:next w:val="a"/>
    <w:link w:val="3Char"/>
    <w:uiPriority w:val="9"/>
    <w:unhideWhenUsed/>
    <w:qFormat/>
    <w:rsid w:val="00C971E9"/>
    <w:pPr>
      <w:keepNext/>
      <w:keepLines/>
      <w:widowControl/>
      <w:spacing w:before="80" w:after="200" w:line="276" w:lineRule="auto"/>
      <w:ind w:left="1080" w:firstLineChars="0" w:hanging="720"/>
      <w:jc w:val="left"/>
      <w:outlineLvl w:val="2"/>
    </w:pPr>
    <w:rPr>
      <w:rFonts w:eastAsia="Times New Roman"/>
      <w:b/>
      <w:bCs/>
      <w:kern w:val="0"/>
      <w:sz w:val="24"/>
      <w:szCs w:val="20"/>
      <w:lang w:eastAsia="en-US"/>
    </w:rPr>
  </w:style>
  <w:style w:type="paragraph" w:styleId="4">
    <w:name w:val="heading 4"/>
    <w:basedOn w:val="a"/>
    <w:next w:val="a"/>
    <w:link w:val="4Char"/>
    <w:uiPriority w:val="9"/>
    <w:unhideWhenUsed/>
    <w:qFormat/>
    <w:rsid w:val="00C971E9"/>
    <w:pPr>
      <w:keepNext/>
      <w:keepLines/>
      <w:widowControl/>
      <w:spacing w:before="200" w:after="200" w:line="276" w:lineRule="auto"/>
      <w:ind w:left="1224" w:firstLineChars="0" w:hanging="864"/>
      <w:jc w:val="left"/>
      <w:outlineLvl w:val="3"/>
    </w:pPr>
    <w:rPr>
      <w:rFonts w:eastAsia="Times New Roman"/>
      <w:b/>
      <w:bCs/>
      <w:iCs/>
      <w:kern w:val="0"/>
      <w:sz w:val="24"/>
      <w:szCs w:val="20"/>
      <w:lang w:eastAsia="en-US"/>
    </w:rPr>
  </w:style>
  <w:style w:type="paragraph" w:styleId="5">
    <w:name w:val="heading 5"/>
    <w:basedOn w:val="a"/>
    <w:next w:val="a"/>
    <w:link w:val="5Char"/>
    <w:uiPriority w:val="9"/>
    <w:unhideWhenUsed/>
    <w:qFormat/>
    <w:rsid w:val="00C971E9"/>
    <w:pPr>
      <w:keepNext/>
      <w:keepLines/>
      <w:widowControl/>
      <w:spacing w:before="80" w:after="80" w:line="276" w:lineRule="auto"/>
      <w:ind w:left="1368" w:firstLineChars="0" w:hanging="1008"/>
      <w:jc w:val="left"/>
      <w:outlineLvl w:val="4"/>
    </w:pPr>
    <w:rPr>
      <w:rFonts w:eastAsia="Times New Roman"/>
      <w:b/>
      <w:kern w:val="0"/>
      <w:sz w:val="24"/>
      <w:szCs w:val="20"/>
      <w:lang w:eastAsia="en-US"/>
    </w:rPr>
  </w:style>
  <w:style w:type="paragraph" w:styleId="6">
    <w:name w:val="heading 6"/>
    <w:basedOn w:val="a"/>
    <w:next w:val="a"/>
    <w:link w:val="6Char"/>
    <w:uiPriority w:val="9"/>
    <w:qFormat/>
    <w:rsid w:val="00D23B15"/>
    <w:pPr>
      <w:widowControl/>
      <w:spacing w:before="240" w:after="60"/>
      <w:ind w:firstLineChars="0" w:firstLine="0"/>
      <w:jc w:val="left"/>
      <w:outlineLvl w:val="5"/>
    </w:pPr>
    <w:rPr>
      <w:rFonts w:eastAsia="Times New Roman"/>
      <w:b/>
      <w:bCs/>
      <w:kern w:val="0"/>
      <w:sz w:val="22"/>
      <w:szCs w:val="22"/>
      <w:lang w:eastAsia="en-US"/>
    </w:rPr>
  </w:style>
  <w:style w:type="paragraph" w:styleId="7">
    <w:name w:val="heading 7"/>
    <w:basedOn w:val="a"/>
    <w:next w:val="a"/>
    <w:link w:val="7Char"/>
    <w:uiPriority w:val="9"/>
    <w:semiHidden/>
    <w:unhideWhenUsed/>
    <w:qFormat/>
    <w:rsid w:val="00C971E9"/>
    <w:pPr>
      <w:keepNext/>
      <w:keepLines/>
      <w:widowControl/>
      <w:spacing w:before="200" w:line="276" w:lineRule="auto"/>
      <w:ind w:left="1656" w:firstLineChars="0" w:hanging="1296"/>
      <w:jc w:val="left"/>
      <w:outlineLvl w:val="6"/>
    </w:pPr>
    <w:rPr>
      <w:rFonts w:ascii="Cambria" w:eastAsia="Times New Roman" w:hAnsi="Cambria"/>
      <w:i/>
      <w:iCs/>
      <w:color w:val="404040"/>
      <w:kern w:val="0"/>
      <w:sz w:val="20"/>
      <w:szCs w:val="20"/>
      <w:lang w:eastAsia="en-US"/>
    </w:rPr>
  </w:style>
  <w:style w:type="paragraph" w:styleId="8">
    <w:name w:val="heading 8"/>
    <w:basedOn w:val="a"/>
    <w:next w:val="a"/>
    <w:link w:val="8Char"/>
    <w:uiPriority w:val="9"/>
    <w:semiHidden/>
    <w:unhideWhenUsed/>
    <w:qFormat/>
    <w:rsid w:val="00C971E9"/>
    <w:pPr>
      <w:keepNext/>
      <w:keepLines/>
      <w:widowControl/>
      <w:spacing w:before="200" w:line="276" w:lineRule="auto"/>
      <w:ind w:left="1800" w:firstLineChars="0" w:hanging="1440"/>
      <w:jc w:val="left"/>
      <w:outlineLvl w:val="7"/>
    </w:pPr>
    <w:rPr>
      <w:rFonts w:ascii="Cambria" w:eastAsia="Times New Roman" w:hAnsi="Cambria"/>
      <w:color w:val="404040"/>
      <w:kern w:val="0"/>
      <w:sz w:val="20"/>
      <w:szCs w:val="20"/>
      <w:lang w:eastAsia="en-US"/>
    </w:rPr>
  </w:style>
  <w:style w:type="paragraph" w:styleId="9">
    <w:name w:val="heading 9"/>
    <w:basedOn w:val="a"/>
    <w:next w:val="a"/>
    <w:link w:val="9Char"/>
    <w:uiPriority w:val="9"/>
    <w:semiHidden/>
    <w:unhideWhenUsed/>
    <w:qFormat/>
    <w:rsid w:val="00C971E9"/>
    <w:pPr>
      <w:keepNext/>
      <w:keepLines/>
      <w:widowControl/>
      <w:spacing w:before="200" w:line="276" w:lineRule="auto"/>
      <w:ind w:left="1944" w:firstLineChars="0" w:hanging="1584"/>
      <w:jc w:val="left"/>
      <w:outlineLvl w:val="8"/>
    </w:pPr>
    <w:rPr>
      <w:rFonts w:ascii="Cambria" w:eastAsia="Times New Roman" w:hAnsi="Cambria"/>
      <w:i/>
      <w:iCs/>
      <w:color w:val="404040"/>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2723"/>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22723"/>
    <w:rPr>
      <w:sz w:val="18"/>
      <w:szCs w:val="18"/>
    </w:rPr>
  </w:style>
  <w:style w:type="paragraph" w:styleId="a4">
    <w:name w:val="footer"/>
    <w:basedOn w:val="a"/>
    <w:link w:val="Char0"/>
    <w:unhideWhenUsed/>
    <w:rsid w:val="00422723"/>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rsid w:val="00422723"/>
    <w:rPr>
      <w:sz w:val="18"/>
      <w:szCs w:val="18"/>
    </w:rPr>
  </w:style>
  <w:style w:type="character" w:styleId="a5">
    <w:name w:val="page number"/>
    <w:basedOn w:val="a0"/>
    <w:rsid w:val="00422723"/>
  </w:style>
  <w:style w:type="character" w:styleId="a6">
    <w:name w:val="Emphasis"/>
    <w:basedOn w:val="a0"/>
    <w:qFormat/>
    <w:rsid w:val="00422723"/>
    <w:rPr>
      <w:i/>
      <w:iCs/>
    </w:rPr>
  </w:style>
  <w:style w:type="character" w:styleId="a7">
    <w:name w:val="footnote reference"/>
    <w:basedOn w:val="a0"/>
    <w:rsid w:val="00422723"/>
    <w:rPr>
      <w:vertAlign w:val="superscript"/>
    </w:rPr>
  </w:style>
  <w:style w:type="paragraph" w:customStyle="1" w:styleId="2011-1">
    <w:name w:val="2011正文-1"/>
    <w:basedOn w:val="a"/>
    <w:link w:val="2011-1Char"/>
    <w:uiPriority w:val="99"/>
    <w:rsid w:val="00422723"/>
    <w:pPr>
      <w:autoSpaceDE w:val="0"/>
      <w:autoSpaceDN w:val="0"/>
    </w:pPr>
    <w:rPr>
      <w:kern w:val="0"/>
    </w:rPr>
  </w:style>
  <w:style w:type="paragraph" w:customStyle="1" w:styleId="2011-10">
    <w:name w:val="2011标-1"/>
    <w:basedOn w:val="2011-1"/>
    <w:uiPriority w:val="99"/>
    <w:rsid w:val="00422723"/>
    <w:pPr>
      <w:spacing w:beforeLines="50" w:afterLines="30"/>
      <w:ind w:firstLineChars="0" w:firstLine="0"/>
      <w:jc w:val="center"/>
    </w:pPr>
    <w:rPr>
      <w:b/>
      <w:bCs/>
      <w:sz w:val="24"/>
      <w:szCs w:val="24"/>
    </w:rPr>
  </w:style>
  <w:style w:type="paragraph" w:customStyle="1" w:styleId="2011-11">
    <w:name w:val="2011标题-1"/>
    <w:basedOn w:val="2011-1"/>
    <w:uiPriority w:val="99"/>
    <w:rsid w:val="00422723"/>
    <w:pPr>
      <w:spacing w:beforeLines="100" w:afterLines="150"/>
      <w:ind w:firstLineChars="0" w:firstLine="0"/>
      <w:jc w:val="center"/>
    </w:pPr>
    <w:rPr>
      <w:sz w:val="36"/>
      <w:szCs w:val="36"/>
    </w:rPr>
  </w:style>
  <w:style w:type="paragraph" w:customStyle="1" w:styleId="2011-12">
    <w:name w:val="2011作者-1"/>
    <w:basedOn w:val="2011-1"/>
    <w:uiPriority w:val="99"/>
    <w:rsid w:val="00422723"/>
    <w:pPr>
      <w:ind w:firstLineChars="0" w:firstLine="0"/>
      <w:jc w:val="center"/>
    </w:pPr>
    <w:rPr>
      <w:szCs w:val="18"/>
    </w:rPr>
  </w:style>
  <w:style w:type="paragraph" w:customStyle="1" w:styleId="-1">
    <w:name w:val="脚注-1"/>
    <w:basedOn w:val="ecxmsofootnotetext"/>
    <w:uiPriority w:val="99"/>
    <w:rsid w:val="002B28CE"/>
    <w:pPr>
      <w:adjustRightInd w:val="0"/>
      <w:snapToGrid w:val="0"/>
      <w:jc w:val="both"/>
    </w:pPr>
    <w:rPr>
      <w:rFonts w:ascii="Times New Roman" w:hAnsi="Times New Roman" w:cs="Times New Roman"/>
      <w:sz w:val="18"/>
      <w:szCs w:val="18"/>
    </w:rPr>
  </w:style>
  <w:style w:type="paragraph" w:customStyle="1" w:styleId="2011-13">
    <w:name w:val="2011关键词-1"/>
    <w:basedOn w:val="2011-1"/>
    <w:uiPriority w:val="99"/>
    <w:rsid w:val="00422723"/>
    <w:pPr>
      <w:spacing w:beforeLines="50" w:afterLines="100"/>
      <w:ind w:leftChars="250" w:left="250" w:rightChars="250" w:right="250" w:firstLineChars="0" w:firstLine="0"/>
    </w:pPr>
    <w:rPr>
      <w:sz w:val="18"/>
      <w:szCs w:val="18"/>
    </w:rPr>
  </w:style>
  <w:style w:type="paragraph" w:customStyle="1" w:styleId="2011-14">
    <w:name w:val="2011参考文献-1"/>
    <w:basedOn w:val="2011-1"/>
    <w:uiPriority w:val="99"/>
    <w:rsid w:val="00422723"/>
    <w:pPr>
      <w:snapToGrid w:val="0"/>
      <w:spacing w:line="288" w:lineRule="auto"/>
      <w:ind w:left="200" w:hangingChars="200" w:hanging="200"/>
    </w:pPr>
    <w:rPr>
      <w:color w:val="000000"/>
      <w:sz w:val="18"/>
      <w:szCs w:val="18"/>
    </w:rPr>
  </w:style>
  <w:style w:type="character" w:customStyle="1" w:styleId="2011-1Char">
    <w:name w:val="2011正文-1 Char"/>
    <w:basedOn w:val="a0"/>
    <w:link w:val="2011-1"/>
    <w:uiPriority w:val="99"/>
    <w:locked/>
    <w:rsid w:val="00422723"/>
    <w:rPr>
      <w:rFonts w:ascii="Times New Roman" w:eastAsia="宋体" w:hAnsi="Times New Roman" w:cs="Times New Roman"/>
      <w:kern w:val="0"/>
      <w:szCs w:val="21"/>
    </w:rPr>
  </w:style>
  <w:style w:type="paragraph" w:customStyle="1" w:styleId="2011-15">
    <w:name w:val="2011摘要-1"/>
    <w:basedOn w:val="a"/>
    <w:qFormat/>
    <w:rsid w:val="00422723"/>
    <w:pPr>
      <w:autoSpaceDE w:val="0"/>
      <w:autoSpaceDN w:val="0"/>
      <w:ind w:leftChars="250" w:left="525" w:rightChars="250" w:right="525" w:firstLineChars="0" w:firstLine="0"/>
    </w:pPr>
    <w:rPr>
      <w:kern w:val="0"/>
      <w:sz w:val="18"/>
      <w:szCs w:val="18"/>
    </w:rPr>
  </w:style>
  <w:style w:type="paragraph" w:customStyle="1" w:styleId="30">
    <w:name w:val="样式3"/>
    <w:basedOn w:val="a"/>
    <w:qFormat/>
    <w:rsid w:val="00422723"/>
    <w:pPr>
      <w:adjustRightInd w:val="0"/>
      <w:snapToGrid w:val="0"/>
      <w:ind w:firstLineChars="0" w:firstLine="0"/>
    </w:pPr>
    <w:rPr>
      <w:sz w:val="12"/>
      <w:lang w:val="en-GB"/>
    </w:rPr>
  </w:style>
  <w:style w:type="paragraph" w:customStyle="1" w:styleId="2011-2">
    <w:name w:val="2011作者-2"/>
    <w:basedOn w:val="2011-12"/>
    <w:qFormat/>
    <w:rsid w:val="00422723"/>
    <w:rPr>
      <w:sz w:val="18"/>
    </w:rPr>
  </w:style>
  <w:style w:type="paragraph" w:styleId="a8">
    <w:name w:val="Balloon Text"/>
    <w:basedOn w:val="a"/>
    <w:link w:val="Char1"/>
    <w:semiHidden/>
    <w:unhideWhenUsed/>
    <w:rsid w:val="00B07459"/>
    <w:pPr>
      <w:ind w:firstLineChars="0" w:firstLine="0"/>
    </w:pPr>
    <w:rPr>
      <w:rFonts w:ascii="Tahoma" w:eastAsia="SimSun" w:hAnsi="Tahoma" w:cs="Tahoma"/>
      <w:sz w:val="16"/>
      <w:szCs w:val="16"/>
    </w:rPr>
  </w:style>
  <w:style w:type="character" w:customStyle="1" w:styleId="Char1">
    <w:name w:val="批注框文本 Char"/>
    <w:basedOn w:val="a0"/>
    <w:link w:val="a8"/>
    <w:semiHidden/>
    <w:rsid w:val="00B07459"/>
    <w:rPr>
      <w:rFonts w:ascii="Tahoma" w:eastAsia="SimSun" w:hAnsi="Tahoma" w:cs="Tahoma"/>
      <w:sz w:val="16"/>
      <w:szCs w:val="16"/>
    </w:rPr>
  </w:style>
  <w:style w:type="paragraph" w:styleId="a9">
    <w:name w:val="List Paragraph"/>
    <w:basedOn w:val="a"/>
    <w:uiPriority w:val="34"/>
    <w:qFormat/>
    <w:rsid w:val="00B07459"/>
    <w:pPr>
      <w:ind w:firstLine="420"/>
    </w:pPr>
    <w:rPr>
      <w:rFonts w:ascii="Calibri" w:eastAsia="SimSun" w:hAnsi="Calibri"/>
      <w:szCs w:val="22"/>
    </w:rPr>
  </w:style>
  <w:style w:type="paragraph" w:styleId="aa">
    <w:name w:val="footnote text"/>
    <w:basedOn w:val="a"/>
    <w:link w:val="Char2"/>
    <w:unhideWhenUsed/>
    <w:rsid w:val="00B07459"/>
    <w:pPr>
      <w:snapToGrid w:val="0"/>
      <w:ind w:firstLineChars="0" w:firstLine="0"/>
      <w:jc w:val="left"/>
    </w:pPr>
    <w:rPr>
      <w:rFonts w:ascii="Calibri" w:eastAsia="SimSun" w:hAnsi="Calibri"/>
      <w:sz w:val="18"/>
      <w:szCs w:val="18"/>
    </w:rPr>
  </w:style>
  <w:style w:type="character" w:customStyle="1" w:styleId="Char2">
    <w:name w:val="脚注文本 Char"/>
    <w:basedOn w:val="a0"/>
    <w:link w:val="aa"/>
    <w:semiHidden/>
    <w:rsid w:val="00B07459"/>
    <w:rPr>
      <w:rFonts w:ascii="Calibri" w:eastAsia="SimSun" w:hAnsi="Calibri" w:cs="Times New Roman"/>
      <w:sz w:val="18"/>
      <w:szCs w:val="18"/>
    </w:rPr>
  </w:style>
  <w:style w:type="character" w:styleId="ab">
    <w:name w:val="Hyperlink"/>
    <w:basedOn w:val="a0"/>
    <w:unhideWhenUsed/>
    <w:rsid w:val="00B07459"/>
    <w:rPr>
      <w:color w:val="0000FF"/>
      <w:u w:val="single"/>
    </w:rPr>
  </w:style>
  <w:style w:type="character" w:customStyle="1" w:styleId="shorttext1">
    <w:name w:val="short_text1"/>
    <w:basedOn w:val="a0"/>
    <w:rsid w:val="00B07459"/>
    <w:rPr>
      <w:sz w:val="29"/>
      <w:szCs w:val="29"/>
    </w:rPr>
  </w:style>
  <w:style w:type="paragraph" w:customStyle="1" w:styleId="ecxmsofootnotetext">
    <w:name w:val="ecxmsofootnotetext"/>
    <w:basedOn w:val="a"/>
    <w:rsid w:val="00B07459"/>
    <w:pPr>
      <w:widowControl/>
      <w:ind w:firstLineChars="0" w:firstLine="0"/>
      <w:jc w:val="left"/>
    </w:pPr>
    <w:rPr>
      <w:rFonts w:ascii="宋体" w:hAnsi="宋体" w:cs="宋体"/>
      <w:kern w:val="0"/>
      <w:sz w:val="24"/>
      <w:szCs w:val="24"/>
    </w:rPr>
  </w:style>
  <w:style w:type="character" w:customStyle="1" w:styleId="2Char">
    <w:name w:val="标题 2 Char"/>
    <w:basedOn w:val="a0"/>
    <w:link w:val="2"/>
    <w:rsid w:val="003A2227"/>
    <w:rPr>
      <w:rFonts w:ascii="Times New Roman" w:eastAsia="宋体" w:hAnsi="Times New Roman" w:cs="Times New Roman"/>
      <w:b/>
      <w:bCs/>
      <w:kern w:val="0"/>
      <w:szCs w:val="21"/>
    </w:rPr>
  </w:style>
  <w:style w:type="paragraph" w:customStyle="1" w:styleId="2011Fig-1">
    <w:name w:val="2011Fig-1"/>
    <w:basedOn w:val="2011-1"/>
    <w:qFormat/>
    <w:rsid w:val="00666E2E"/>
    <w:pPr>
      <w:ind w:firstLineChars="0" w:firstLine="0"/>
      <w:jc w:val="center"/>
    </w:pPr>
    <w:rPr>
      <w:kern w:val="2"/>
      <w:sz w:val="18"/>
      <w:szCs w:val="18"/>
      <w:lang w:val="en-GB" w:eastAsia="en-US"/>
    </w:rPr>
  </w:style>
  <w:style w:type="paragraph" w:customStyle="1" w:styleId="2011-16">
    <w:name w:val="2011图片-1"/>
    <w:basedOn w:val="2011-1"/>
    <w:qFormat/>
    <w:rsid w:val="00B1186D"/>
    <w:pPr>
      <w:adjustRightInd w:val="0"/>
      <w:snapToGrid w:val="0"/>
      <w:ind w:firstLineChars="0" w:firstLine="0"/>
      <w:jc w:val="center"/>
    </w:pPr>
    <w:rPr>
      <w:rFonts w:eastAsiaTheme="minorEastAsia"/>
      <w:noProof/>
      <w:sz w:val="24"/>
    </w:rPr>
  </w:style>
  <w:style w:type="paragraph" w:customStyle="1" w:styleId="2011-17">
    <w:name w:val="2011小空行-1"/>
    <w:basedOn w:val="2011Fig-1"/>
    <w:qFormat/>
    <w:rsid w:val="00C06B1B"/>
    <w:pPr>
      <w:adjustRightInd w:val="0"/>
      <w:snapToGrid w:val="0"/>
    </w:pPr>
    <w:rPr>
      <w:sz w:val="12"/>
      <w:szCs w:val="12"/>
    </w:rPr>
  </w:style>
  <w:style w:type="paragraph" w:customStyle="1" w:styleId="2011-18">
    <w:name w:val="2011注释-1"/>
    <w:basedOn w:val="2011-1"/>
    <w:qFormat/>
    <w:rsid w:val="00967718"/>
    <w:pPr>
      <w:ind w:firstLineChars="0" w:firstLine="0"/>
      <w:jc w:val="left"/>
    </w:pPr>
    <w:rPr>
      <w:sz w:val="18"/>
      <w:szCs w:val="18"/>
    </w:rPr>
  </w:style>
  <w:style w:type="paragraph" w:customStyle="1" w:styleId="2011-19">
    <w:name w:val="2011公式-1"/>
    <w:basedOn w:val="2011-1"/>
    <w:qFormat/>
    <w:rsid w:val="00DB6CB9"/>
    <w:pPr>
      <w:adjustRightInd w:val="0"/>
      <w:snapToGrid w:val="0"/>
      <w:ind w:firstLineChars="0" w:firstLine="0"/>
      <w:jc w:val="center"/>
    </w:pPr>
    <w:rPr>
      <w:szCs w:val="24"/>
    </w:rPr>
  </w:style>
  <w:style w:type="character" w:customStyle="1" w:styleId="refpreview1">
    <w:name w:val="refpreview1"/>
    <w:basedOn w:val="a0"/>
    <w:uiPriority w:val="99"/>
    <w:rsid w:val="0014745E"/>
    <w:rPr>
      <w:rFonts w:cs="Times New Roman"/>
      <w:vanish/>
      <w:shd w:val="clear" w:color="auto" w:fill="EEEEEE"/>
    </w:rPr>
  </w:style>
  <w:style w:type="character" w:styleId="ac">
    <w:name w:val="Strong"/>
    <w:basedOn w:val="a0"/>
    <w:uiPriority w:val="99"/>
    <w:qFormat/>
    <w:rsid w:val="0014745E"/>
    <w:rPr>
      <w:rFonts w:cs="Times New Roman"/>
      <w:b/>
      <w:bCs/>
    </w:rPr>
  </w:style>
  <w:style w:type="character" w:customStyle="1" w:styleId="sensecontent2">
    <w:name w:val="sense_content2"/>
    <w:basedOn w:val="a0"/>
    <w:uiPriority w:val="99"/>
    <w:rsid w:val="0014745E"/>
    <w:rPr>
      <w:rFonts w:ascii="Times New Roman" w:hAnsi="Times New Roman" w:cs="Times New Roman"/>
    </w:rPr>
  </w:style>
  <w:style w:type="paragraph" w:customStyle="1" w:styleId="2011-1a">
    <w:name w:val="2011引文-1"/>
    <w:basedOn w:val="2011-1"/>
    <w:qFormat/>
    <w:rsid w:val="00253524"/>
    <w:pPr>
      <w:adjustRightInd w:val="0"/>
      <w:snapToGrid w:val="0"/>
      <w:spacing w:beforeLines="50" w:afterLines="50" w:line="288" w:lineRule="auto"/>
      <w:ind w:leftChars="250" w:left="525" w:firstLine="360"/>
    </w:pPr>
    <w:rPr>
      <w:sz w:val="18"/>
    </w:rPr>
  </w:style>
  <w:style w:type="paragraph" w:styleId="ad">
    <w:name w:val="annotation text"/>
    <w:basedOn w:val="a"/>
    <w:link w:val="Char3"/>
    <w:rsid w:val="00857A4C"/>
    <w:pPr>
      <w:ind w:firstLineChars="0" w:firstLine="0"/>
      <w:jc w:val="left"/>
    </w:pPr>
    <w:rPr>
      <w:rFonts w:eastAsiaTheme="minorEastAsia"/>
      <w:szCs w:val="20"/>
    </w:rPr>
  </w:style>
  <w:style w:type="character" w:customStyle="1" w:styleId="Char3">
    <w:name w:val="批注文字 Char"/>
    <w:basedOn w:val="a0"/>
    <w:link w:val="ad"/>
    <w:rsid w:val="00857A4C"/>
    <w:rPr>
      <w:rFonts w:ascii="Times New Roman" w:hAnsi="Times New Roman" w:cs="Times New Roman"/>
      <w:szCs w:val="20"/>
    </w:rPr>
  </w:style>
  <w:style w:type="character" w:styleId="ae">
    <w:name w:val="Placeholder Text"/>
    <w:basedOn w:val="a0"/>
    <w:uiPriority w:val="99"/>
    <w:semiHidden/>
    <w:rsid w:val="00857A4C"/>
    <w:rPr>
      <w:color w:val="808080"/>
    </w:rPr>
  </w:style>
  <w:style w:type="paragraph" w:customStyle="1" w:styleId="10">
    <w:name w:val="作者－1"/>
    <w:basedOn w:val="a"/>
    <w:rsid w:val="00857A4C"/>
    <w:pPr>
      <w:ind w:firstLineChars="0" w:firstLine="0"/>
      <w:jc w:val="center"/>
    </w:pPr>
    <w:rPr>
      <w:szCs w:val="20"/>
    </w:rPr>
  </w:style>
  <w:style w:type="paragraph" w:customStyle="1" w:styleId="11">
    <w:name w:val="样式1"/>
    <w:basedOn w:val="2011-1"/>
    <w:qFormat/>
    <w:rsid w:val="001958AB"/>
    <w:pPr>
      <w:autoSpaceDE/>
      <w:autoSpaceDN/>
      <w:adjustRightInd w:val="0"/>
      <w:snapToGrid w:val="0"/>
      <w:spacing w:line="288" w:lineRule="auto"/>
      <w:ind w:leftChars="200" w:left="420" w:rightChars="200" w:right="420" w:firstLineChars="0" w:firstLine="0"/>
    </w:pPr>
    <w:rPr>
      <w:kern w:val="2"/>
      <w:sz w:val="18"/>
      <w:szCs w:val="18"/>
      <w:lang w:val="en-GB" w:eastAsia="en-US"/>
    </w:rPr>
  </w:style>
  <w:style w:type="paragraph" w:customStyle="1" w:styleId="-10">
    <w:name w:val="摘要-1"/>
    <w:basedOn w:val="2011-1"/>
    <w:uiPriority w:val="99"/>
    <w:rsid w:val="00CF26DE"/>
    <w:pPr>
      <w:ind w:leftChars="250" w:left="250" w:rightChars="250" w:right="250" w:firstLineChars="0" w:firstLine="0"/>
    </w:pPr>
    <w:rPr>
      <w:sz w:val="18"/>
      <w:szCs w:val="18"/>
    </w:rPr>
  </w:style>
  <w:style w:type="paragraph" w:styleId="af">
    <w:name w:val="No Spacing"/>
    <w:aliases w:val="double Spacing"/>
    <w:uiPriority w:val="1"/>
    <w:qFormat/>
    <w:rsid w:val="000D4600"/>
    <w:pPr>
      <w:jc w:val="left"/>
    </w:pPr>
    <w:rPr>
      <w:rFonts w:ascii="Calibri" w:eastAsia="Calibri" w:hAnsi="Calibri" w:cs="Times New Roman"/>
      <w:kern w:val="0"/>
      <w:sz w:val="22"/>
      <w:lang w:eastAsia="en-US"/>
    </w:rPr>
  </w:style>
  <w:style w:type="table" w:styleId="af0">
    <w:name w:val="Table Grid"/>
    <w:basedOn w:val="a1"/>
    <w:rsid w:val="000D4600"/>
    <w:pPr>
      <w:jc w:val="left"/>
    </w:pPr>
    <w:rPr>
      <w:rFonts w:ascii="Calibri" w:eastAsia="Calibri" w:hAnsi="Calibri" w:cs="Times New Roman"/>
      <w:kern w:val="0"/>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Bibliography"/>
    <w:basedOn w:val="a"/>
    <w:next w:val="a"/>
    <w:uiPriority w:val="37"/>
    <w:unhideWhenUsed/>
    <w:rsid w:val="000D4600"/>
    <w:pPr>
      <w:widowControl/>
      <w:spacing w:after="200" w:line="276" w:lineRule="auto"/>
      <w:ind w:firstLineChars="0" w:firstLine="0"/>
      <w:jc w:val="left"/>
    </w:pPr>
    <w:rPr>
      <w:rFonts w:ascii="Calibri" w:eastAsia="Calibri" w:hAnsi="Calibri"/>
      <w:kern w:val="0"/>
      <w:sz w:val="22"/>
      <w:szCs w:val="22"/>
      <w:lang w:eastAsia="en-US"/>
    </w:rPr>
  </w:style>
  <w:style w:type="paragraph" w:customStyle="1" w:styleId="100">
    <w:name w:val="样式10"/>
    <w:basedOn w:val="a"/>
    <w:qFormat/>
    <w:rsid w:val="000D4600"/>
    <w:pPr>
      <w:ind w:firstLineChars="0" w:firstLine="0"/>
    </w:pPr>
    <w:rPr>
      <w:sz w:val="18"/>
      <w:szCs w:val="18"/>
      <w:lang w:val="en-GB"/>
    </w:rPr>
  </w:style>
  <w:style w:type="paragraph" w:customStyle="1" w:styleId="110">
    <w:name w:val="样式11"/>
    <w:basedOn w:val="a"/>
    <w:qFormat/>
    <w:rsid w:val="00A273EB"/>
    <w:pPr>
      <w:adjustRightInd w:val="0"/>
      <w:snapToGrid w:val="0"/>
      <w:ind w:firstLineChars="0" w:firstLine="0"/>
    </w:pPr>
    <w:rPr>
      <w:rFonts w:ascii="Ethnocentric" w:hAnsi="Ethnocentric"/>
      <w:color w:val="AF1E96"/>
      <w:sz w:val="12"/>
      <w:szCs w:val="12"/>
    </w:rPr>
  </w:style>
  <w:style w:type="paragraph" w:customStyle="1" w:styleId="12">
    <w:name w:val="样式12"/>
    <w:basedOn w:val="a"/>
    <w:qFormat/>
    <w:rsid w:val="00A273EB"/>
    <w:pPr>
      <w:adjustRightInd w:val="0"/>
      <w:snapToGrid w:val="0"/>
      <w:ind w:firstLineChars="0" w:firstLine="0"/>
    </w:pPr>
    <w:rPr>
      <w:rFonts w:ascii="Ethnocentric" w:hAnsi="Ethnocentric"/>
      <w:color w:val="FFFFFF"/>
      <w:sz w:val="72"/>
      <w:szCs w:val="72"/>
    </w:rPr>
  </w:style>
  <w:style w:type="character" w:styleId="af2">
    <w:name w:val="annotation reference"/>
    <w:basedOn w:val="a0"/>
    <w:semiHidden/>
    <w:unhideWhenUsed/>
    <w:rsid w:val="001D5199"/>
    <w:rPr>
      <w:sz w:val="21"/>
      <w:szCs w:val="21"/>
    </w:rPr>
  </w:style>
  <w:style w:type="paragraph" w:styleId="af3">
    <w:name w:val="annotation subject"/>
    <w:basedOn w:val="ad"/>
    <w:next w:val="ad"/>
    <w:link w:val="Char4"/>
    <w:semiHidden/>
    <w:unhideWhenUsed/>
    <w:rsid w:val="001D5199"/>
    <w:pPr>
      <w:ind w:firstLineChars="200" w:firstLine="200"/>
    </w:pPr>
    <w:rPr>
      <w:rFonts w:eastAsia="宋体"/>
      <w:b/>
      <w:bCs/>
      <w:szCs w:val="21"/>
    </w:rPr>
  </w:style>
  <w:style w:type="character" w:customStyle="1" w:styleId="Char4">
    <w:name w:val="批注主题 Char"/>
    <w:basedOn w:val="Char3"/>
    <w:link w:val="af3"/>
    <w:semiHidden/>
    <w:rsid w:val="001D5199"/>
    <w:rPr>
      <w:rFonts w:eastAsia="宋体"/>
      <w:b/>
      <w:bCs/>
      <w:szCs w:val="21"/>
    </w:rPr>
  </w:style>
  <w:style w:type="character" w:customStyle="1" w:styleId="6Char">
    <w:name w:val="标题 6 Char"/>
    <w:basedOn w:val="a0"/>
    <w:link w:val="6"/>
    <w:uiPriority w:val="9"/>
    <w:rsid w:val="00D23B15"/>
    <w:rPr>
      <w:rFonts w:ascii="Times New Roman" w:eastAsia="Times New Roman" w:hAnsi="Times New Roman" w:cs="Times New Roman"/>
      <w:b/>
      <w:bCs/>
      <w:kern w:val="0"/>
      <w:sz w:val="22"/>
      <w:lang w:eastAsia="en-US"/>
    </w:rPr>
  </w:style>
  <w:style w:type="paragraph" w:styleId="af4">
    <w:name w:val="Normal (Web)"/>
    <w:basedOn w:val="a"/>
    <w:unhideWhenUsed/>
    <w:rsid w:val="00D23B15"/>
    <w:pPr>
      <w:widowControl/>
      <w:spacing w:before="100" w:beforeAutospacing="1" w:after="100" w:afterAutospacing="1"/>
      <w:ind w:firstLineChars="0" w:firstLine="0"/>
      <w:jc w:val="left"/>
    </w:pPr>
    <w:rPr>
      <w:rFonts w:eastAsia="Times New Roman"/>
      <w:kern w:val="0"/>
      <w:sz w:val="24"/>
      <w:szCs w:val="24"/>
      <w:lang w:eastAsia="en-US"/>
    </w:rPr>
  </w:style>
  <w:style w:type="paragraph" w:styleId="af5">
    <w:name w:val="Quote"/>
    <w:basedOn w:val="a"/>
    <w:next w:val="a"/>
    <w:link w:val="Char5"/>
    <w:uiPriority w:val="29"/>
    <w:qFormat/>
    <w:rsid w:val="00D23B15"/>
    <w:pPr>
      <w:widowControl/>
      <w:ind w:firstLineChars="0" w:firstLine="0"/>
      <w:jc w:val="left"/>
    </w:pPr>
    <w:rPr>
      <w:rFonts w:asciiTheme="minorHAnsi" w:eastAsiaTheme="minorEastAsia" w:hAnsiTheme="minorHAnsi" w:cstheme="minorBidi"/>
      <w:i/>
      <w:iCs/>
      <w:color w:val="000000" w:themeColor="text1"/>
      <w:kern w:val="0"/>
      <w:sz w:val="22"/>
      <w:szCs w:val="22"/>
      <w:lang w:eastAsia="en-US"/>
    </w:rPr>
  </w:style>
  <w:style w:type="character" w:customStyle="1" w:styleId="Char5">
    <w:name w:val="引用 Char"/>
    <w:basedOn w:val="a0"/>
    <w:link w:val="af5"/>
    <w:uiPriority w:val="29"/>
    <w:rsid w:val="00D23B15"/>
    <w:rPr>
      <w:i/>
      <w:iCs/>
      <w:color w:val="000000" w:themeColor="text1"/>
      <w:kern w:val="0"/>
      <w:sz w:val="22"/>
      <w:lang w:eastAsia="en-US"/>
    </w:rPr>
  </w:style>
  <w:style w:type="paragraph" w:styleId="af6">
    <w:name w:val="Title"/>
    <w:basedOn w:val="a"/>
    <w:link w:val="Char6"/>
    <w:qFormat/>
    <w:rsid w:val="00D23B15"/>
    <w:pPr>
      <w:widowControl/>
      <w:ind w:firstLineChars="0" w:firstLine="0"/>
      <w:jc w:val="center"/>
    </w:pPr>
    <w:rPr>
      <w:rFonts w:eastAsia="Times New Roman"/>
      <w:b/>
      <w:bCs/>
      <w:kern w:val="0"/>
      <w:sz w:val="24"/>
      <w:szCs w:val="24"/>
      <w:u w:val="single"/>
      <w:lang w:eastAsia="en-US"/>
    </w:rPr>
  </w:style>
  <w:style w:type="character" w:customStyle="1" w:styleId="Char6">
    <w:name w:val="标题 Char"/>
    <w:basedOn w:val="a0"/>
    <w:link w:val="af6"/>
    <w:rsid w:val="00D23B15"/>
    <w:rPr>
      <w:rFonts w:ascii="Times New Roman" w:eastAsia="Times New Roman" w:hAnsi="Times New Roman" w:cs="Times New Roman"/>
      <w:b/>
      <w:bCs/>
      <w:kern w:val="0"/>
      <w:sz w:val="24"/>
      <w:szCs w:val="24"/>
      <w:u w:val="single"/>
      <w:lang w:eastAsia="en-US"/>
    </w:rPr>
  </w:style>
  <w:style w:type="paragraph" w:customStyle="1" w:styleId="Default">
    <w:name w:val="Default"/>
    <w:rsid w:val="00D23B15"/>
    <w:pPr>
      <w:autoSpaceDE w:val="0"/>
      <w:autoSpaceDN w:val="0"/>
      <w:adjustRightInd w:val="0"/>
      <w:jc w:val="left"/>
    </w:pPr>
    <w:rPr>
      <w:rFonts w:ascii="Arial" w:hAnsi="Arial" w:cs="Arial"/>
      <w:color w:val="000000"/>
      <w:kern w:val="0"/>
      <w:sz w:val="24"/>
      <w:szCs w:val="24"/>
      <w:lang w:eastAsia="en-US"/>
    </w:rPr>
  </w:style>
  <w:style w:type="paragraph" w:styleId="af7">
    <w:name w:val="Body Text"/>
    <w:basedOn w:val="a"/>
    <w:link w:val="Char7"/>
    <w:rsid w:val="00D23B15"/>
    <w:pPr>
      <w:widowControl/>
      <w:spacing w:line="480" w:lineRule="auto"/>
      <w:ind w:firstLineChars="0" w:firstLine="0"/>
    </w:pPr>
    <w:rPr>
      <w:rFonts w:eastAsia="Times New Roman"/>
      <w:kern w:val="0"/>
      <w:sz w:val="24"/>
      <w:szCs w:val="24"/>
      <w:lang w:eastAsia="en-US"/>
    </w:rPr>
  </w:style>
  <w:style w:type="character" w:customStyle="1" w:styleId="Char7">
    <w:name w:val="正文文本 Char"/>
    <w:basedOn w:val="a0"/>
    <w:link w:val="af7"/>
    <w:rsid w:val="00D23B15"/>
    <w:rPr>
      <w:rFonts w:ascii="Times New Roman" w:eastAsia="Times New Roman" w:hAnsi="Times New Roman" w:cs="Times New Roman"/>
      <w:kern w:val="0"/>
      <w:sz w:val="24"/>
      <w:szCs w:val="24"/>
      <w:lang w:eastAsia="en-US"/>
    </w:rPr>
  </w:style>
  <w:style w:type="character" w:customStyle="1" w:styleId="Char8">
    <w:name w:val="文本块 Char"/>
    <w:basedOn w:val="a0"/>
    <w:link w:val="af8"/>
    <w:rsid w:val="00D23B15"/>
    <w:rPr>
      <w:i/>
      <w:iCs/>
      <w:color w:val="000000"/>
    </w:rPr>
  </w:style>
  <w:style w:type="paragraph" w:styleId="af8">
    <w:name w:val="Block Text"/>
    <w:basedOn w:val="a"/>
    <w:next w:val="a"/>
    <w:link w:val="Char8"/>
    <w:rsid w:val="00D23B15"/>
    <w:pPr>
      <w:widowControl/>
      <w:ind w:firstLineChars="0" w:firstLine="0"/>
      <w:jc w:val="left"/>
    </w:pPr>
    <w:rPr>
      <w:rFonts w:asciiTheme="minorHAnsi" w:eastAsiaTheme="minorEastAsia" w:hAnsiTheme="minorHAnsi" w:cstheme="minorBidi"/>
      <w:i/>
      <w:iCs/>
      <w:color w:val="000000"/>
      <w:szCs w:val="22"/>
    </w:rPr>
  </w:style>
  <w:style w:type="table" w:customStyle="1" w:styleId="13">
    <w:name w:val="浅色底纹1"/>
    <w:basedOn w:val="a1"/>
    <w:uiPriority w:val="60"/>
    <w:rsid w:val="00D23B15"/>
    <w:pPr>
      <w:jc w:val="left"/>
    </w:pPr>
    <w:rPr>
      <w:color w:val="000000" w:themeColor="text1" w:themeShade="BF"/>
      <w:kern w:val="0"/>
      <w:sz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2">
    <w:name w:val="标-2"/>
    <w:basedOn w:val="a"/>
    <w:rsid w:val="00D23B15"/>
    <w:pPr>
      <w:autoSpaceDE w:val="0"/>
      <w:autoSpaceDN w:val="0"/>
      <w:spacing w:beforeLines="50" w:afterLines="20" w:line="288" w:lineRule="auto"/>
      <w:ind w:firstLineChars="0" w:firstLine="0"/>
      <w:jc w:val="left"/>
    </w:pPr>
    <w:rPr>
      <w:b/>
      <w:bCs/>
      <w:kern w:val="0"/>
    </w:rPr>
  </w:style>
  <w:style w:type="paragraph" w:customStyle="1" w:styleId="-11">
    <w:name w:val="参考文献-1"/>
    <w:basedOn w:val="a"/>
    <w:rsid w:val="00D23B15"/>
    <w:pPr>
      <w:autoSpaceDE w:val="0"/>
      <w:autoSpaceDN w:val="0"/>
      <w:ind w:left="220" w:hangingChars="220" w:hanging="220"/>
    </w:pPr>
    <w:rPr>
      <w:color w:val="000000"/>
      <w:kern w:val="0"/>
      <w:sz w:val="18"/>
      <w:szCs w:val="18"/>
    </w:rPr>
  </w:style>
  <w:style w:type="paragraph" w:styleId="af9">
    <w:name w:val="Revision"/>
    <w:hidden/>
    <w:uiPriority w:val="99"/>
    <w:semiHidden/>
    <w:rsid w:val="00D23B15"/>
    <w:pPr>
      <w:jc w:val="left"/>
    </w:pPr>
    <w:rPr>
      <w:kern w:val="0"/>
      <w:sz w:val="22"/>
      <w:lang w:eastAsia="en-US"/>
    </w:rPr>
  </w:style>
  <w:style w:type="character" w:customStyle="1" w:styleId="1Char">
    <w:name w:val="标题 1 Char"/>
    <w:basedOn w:val="a0"/>
    <w:link w:val="1"/>
    <w:rsid w:val="00C971E9"/>
    <w:rPr>
      <w:rFonts w:ascii="Times New Roman" w:eastAsia="Times New Roman" w:hAnsi="Times New Roman" w:cs="Times New Roman"/>
      <w:b/>
      <w:bCs/>
      <w:kern w:val="0"/>
      <w:sz w:val="24"/>
      <w:szCs w:val="28"/>
      <w:lang w:eastAsia="en-US"/>
    </w:rPr>
  </w:style>
  <w:style w:type="character" w:customStyle="1" w:styleId="3Char">
    <w:name w:val="标题 3 Char"/>
    <w:basedOn w:val="a0"/>
    <w:link w:val="3"/>
    <w:uiPriority w:val="9"/>
    <w:rsid w:val="00C971E9"/>
    <w:rPr>
      <w:rFonts w:ascii="Times New Roman" w:eastAsia="Times New Roman" w:hAnsi="Times New Roman" w:cs="Times New Roman"/>
      <w:b/>
      <w:bCs/>
      <w:kern w:val="0"/>
      <w:sz w:val="24"/>
      <w:szCs w:val="20"/>
      <w:lang w:eastAsia="en-US"/>
    </w:rPr>
  </w:style>
  <w:style w:type="character" w:customStyle="1" w:styleId="4Char">
    <w:name w:val="标题 4 Char"/>
    <w:basedOn w:val="a0"/>
    <w:link w:val="4"/>
    <w:uiPriority w:val="9"/>
    <w:rsid w:val="00C971E9"/>
    <w:rPr>
      <w:rFonts w:ascii="Times New Roman" w:eastAsia="Times New Roman" w:hAnsi="Times New Roman" w:cs="Times New Roman"/>
      <w:b/>
      <w:bCs/>
      <w:iCs/>
      <w:kern w:val="0"/>
      <w:sz w:val="24"/>
      <w:szCs w:val="20"/>
      <w:lang w:eastAsia="en-US"/>
    </w:rPr>
  </w:style>
  <w:style w:type="character" w:customStyle="1" w:styleId="5Char">
    <w:name w:val="标题 5 Char"/>
    <w:basedOn w:val="a0"/>
    <w:link w:val="5"/>
    <w:uiPriority w:val="9"/>
    <w:rsid w:val="00C971E9"/>
    <w:rPr>
      <w:rFonts w:ascii="Times New Roman" w:eastAsia="Times New Roman" w:hAnsi="Times New Roman" w:cs="Times New Roman"/>
      <w:b/>
      <w:kern w:val="0"/>
      <w:sz w:val="24"/>
      <w:szCs w:val="20"/>
      <w:lang w:eastAsia="en-US"/>
    </w:rPr>
  </w:style>
  <w:style w:type="character" w:customStyle="1" w:styleId="7Char">
    <w:name w:val="标题 7 Char"/>
    <w:basedOn w:val="a0"/>
    <w:link w:val="7"/>
    <w:uiPriority w:val="9"/>
    <w:semiHidden/>
    <w:rsid w:val="00C971E9"/>
    <w:rPr>
      <w:rFonts w:ascii="Cambria" w:eastAsia="Times New Roman" w:hAnsi="Cambria" w:cs="Times New Roman"/>
      <w:i/>
      <w:iCs/>
      <w:color w:val="404040"/>
      <w:kern w:val="0"/>
      <w:sz w:val="20"/>
      <w:szCs w:val="20"/>
      <w:lang w:eastAsia="en-US"/>
    </w:rPr>
  </w:style>
  <w:style w:type="character" w:customStyle="1" w:styleId="8Char">
    <w:name w:val="标题 8 Char"/>
    <w:basedOn w:val="a0"/>
    <w:link w:val="8"/>
    <w:uiPriority w:val="9"/>
    <w:semiHidden/>
    <w:rsid w:val="00C971E9"/>
    <w:rPr>
      <w:rFonts w:ascii="Cambria" w:eastAsia="Times New Roman" w:hAnsi="Cambria" w:cs="Times New Roman"/>
      <w:color w:val="404040"/>
      <w:kern w:val="0"/>
      <w:sz w:val="20"/>
      <w:szCs w:val="20"/>
      <w:lang w:eastAsia="en-US"/>
    </w:rPr>
  </w:style>
  <w:style w:type="character" w:customStyle="1" w:styleId="9Char">
    <w:name w:val="标题 9 Char"/>
    <w:basedOn w:val="a0"/>
    <w:link w:val="9"/>
    <w:uiPriority w:val="9"/>
    <w:semiHidden/>
    <w:rsid w:val="00C971E9"/>
    <w:rPr>
      <w:rFonts w:ascii="Cambria" w:eastAsia="Times New Roman" w:hAnsi="Cambria" w:cs="Times New Roman"/>
      <w:i/>
      <w:iCs/>
      <w:color w:val="404040"/>
      <w:kern w:val="0"/>
      <w:sz w:val="20"/>
      <w:szCs w:val="20"/>
      <w:lang w:eastAsia="en-US"/>
    </w:rPr>
  </w:style>
  <w:style w:type="paragraph" w:customStyle="1" w:styleId="afa">
    <w:name w:val="標準(太郎文書スタイル)"/>
    <w:rsid w:val="00A701F7"/>
    <w:pPr>
      <w:widowControl w:val="0"/>
      <w:overflowPunct w:val="0"/>
      <w:adjustRightInd w:val="0"/>
      <w:textAlignment w:val="baseline"/>
    </w:pPr>
    <w:rPr>
      <w:rFonts w:ascii="Times New Roman" w:eastAsia="MS Mincho" w:hAnsi="Times New Roman" w:cs="MS Mincho"/>
      <w:color w:val="000000"/>
      <w:kern w:val="0"/>
      <w:szCs w:val="21"/>
      <w:lang w:eastAsia="ja-JP"/>
    </w:rPr>
  </w:style>
  <w:style w:type="character" w:customStyle="1" w:styleId="afb">
    <w:name w:val="脚注(標準)"/>
    <w:rsid w:val="00A701F7"/>
    <w:rPr>
      <w:sz w:val="21"/>
      <w:vertAlign w:val="superscript"/>
    </w:rPr>
  </w:style>
  <w:style w:type="character" w:customStyle="1" w:styleId="afc">
    <w:name w:val="脚注ｴﾘｱ(標準)"/>
    <w:rsid w:val="00A701F7"/>
  </w:style>
  <w:style w:type="paragraph" w:customStyle="1" w:styleId="14">
    <w:name w:val="変更箇所1"/>
    <w:hidden/>
    <w:semiHidden/>
    <w:rsid w:val="00A701F7"/>
    <w:pPr>
      <w:jc w:val="left"/>
    </w:pPr>
    <w:rPr>
      <w:rFonts w:ascii="Times New Roman" w:eastAsia="MS Mincho" w:hAnsi="Times New Roman" w:cs="MS Mincho"/>
      <w:kern w:val="0"/>
      <w:szCs w:val="21"/>
      <w:lang w:eastAsia="ja-JP"/>
    </w:rPr>
  </w:style>
  <w:style w:type="paragraph" w:customStyle="1" w:styleId="15">
    <w:name w:val="リスト段落1"/>
    <w:basedOn w:val="a"/>
    <w:qFormat/>
    <w:rsid w:val="00A701F7"/>
    <w:pPr>
      <w:suppressAutoHyphens/>
      <w:kinsoku w:val="0"/>
      <w:wordWrap w:val="0"/>
      <w:overflowPunct w:val="0"/>
      <w:autoSpaceDE w:val="0"/>
      <w:autoSpaceDN w:val="0"/>
      <w:adjustRightInd w:val="0"/>
      <w:ind w:leftChars="400" w:left="840" w:firstLineChars="0" w:firstLine="0"/>
      <w:jc w:val="left"/>
      <w:textAlignment w:val="baseline"/>
    </w:pPr>
    <w:rPr>
      <w:rFonts w:eastAsia="MS Mincho" w:cs="MS Mincho"/>
      <w:kern w:val="0"/>
      <w:lang w:eastAsia="ja-JP"/>
    </w:rPr>
  </w:style>
  <w:style w:type="paragraph" w:styleId="afd">
    <w:name w:val="endnote text"/>
    <w:basedOn w:val="a"/>
    <w:link w:val="Char9"/>
    <w:rsid w:val="00A701F7"/>
    <w:pPr>
      <w:suppressAutoHyphens/>
      <w:kinsoku w:val="0"/>
      <w:wordWrap w:val="0"/>
      <w:overflowPunct w:val="0"/>
      <w:autoSpaceDE w:val="0"/>
      <w:autoSpaceDN w:val="0"/>
      <w:adjustRightInd w:val="0"/>
      <w:snapToGrid w:val="0"/>
      <w:ind w:firstLineChars="0" w:firstLine="0"/>
      <w:jc w:val="left"/>
      <w:textAlignment w:val="baseline"/>
    </w:pPr>
    <w:rPr>
      <w:rFonts w:eastAsia="MS Mincho"/>
      <w:kern w:val="0"/>
      <w:sz w:val="20"/>
      <w:lang w:eastAsia="ja-JP"/>
    </w:rPr>
  </w:style>
  <w:style w:type="character" w:customStyle="1" w:styleId="Char9">
    <w:name w:val="尾注文本 Char"/>
    <w:basedOn w:val="a0"/>
    <w:link w:val="afd"/>
    <w:rsid w:val="00A701F7"/>
    <w:rPr>
      <w:rFonts w:ascii="Times New Roman" w:eastAsia="MS Mincho" w:hAnsi="Times New Roman" w:cs="Times New Roman"/>
      <w:kern w:val="0"/>
      <w:sz w:val="20"/>
      <w:szCs w:val="21"/>
      <w:lang w:eastAsia="ja-JP"/>
    </w:rPr>
  </w:style>
  <w:style w:type="character" w:styleId="afe">
    <w:name w:val="endnote reference"/>
    <w:semiHidden/>
    <w:rsid w:val="00A701F7"/>
    <w:rPr>
      <w:vertAlign w:val="superscript"/>
    </w:rPr>
  </w:style>
  <w:style w:type="paragraph" w:styleId="aff">
    <w:name w:val="caption"/>
    <w:basedOn w:val="a"/>
    <w:next w:val="a"/>
    <w:qFormat/>
    <w:rsid w:val="00A701F7"/>
    <w:pPr>
      <w:suppressAutoHyphens/>
      <w:kinsoku w:val="0"/>
      <w:wordWrap w:val="0"/>
      <w:overflowPunct w:val="0"/>
      <w:autoSpaceDE w:val="0"/>
      <w:autoSpaceDN w:val="0"/>
      <w:adjustRightInd w:val="0"/>
      <w:ind w:firstLineChars="0" w:firstLine="0"/>
      <w:jc w:val="left"/>
      <w:textAlignment w:val="baseline"/>
    </w:pPr>
    <w:rPr>
      <w:rFonts w:eastAsia="MS Mincho" w:cs="MS Mincho"/>
      <w:b/>
      <w:bCs/>
      <w:kern w:val="0"/>
      <w:lang w:eastAsia="ja-JP"/>
    </w:rPr>
  </w:style>
  <w:style w:type="paragraph" w:customStyle="1" w:styleId="16">
    <w:name w:val="行間詰め1"/>
    <w:link w:val="NoSpacingChar"/>
    <w:qFormat/>
    <w:rsid w:val="00A701F7"/>
    <w:pPr>
      <w:jc w:val="left"/>
    </w:pPr>
    <w:rPr>
      <w:rFonts w:ascii="Century" w:eastAsia="MS Mincho" w:hAnsi="Century" w:cs="Times New Roman"/>
      <w:kern w:val="0"/>
      <w:sz w:val="22"/>
      <w:lang w:eastAsia="ja-JP"/>
    </w:rPr>
  </w:style>
  <w:style w:type="character" w:customStyle="1" w:styleId="NoSpacingChar">
    <w:name w:val="No Spacing Char"/>
    <w:link w:val="16"/>
    <w:locked/>
    <w:rsid w:val="00A701F7"/>
    <w:rPr>
      <w:rFonts w:ascii="Century" w:eastAsia="MS Mincho" w:hAnsi="Century" w:cs="Times New Roman"/>
      <w:kern w:val="0"/>
      <w:sz w:val="22"/>
      <w:lang w:eastAsia="ja-JP"/>
    </w:rPr>
  </w:style>
  <w:style w:type="character" w:customStyle="1" w:styleId="st1">
    <w:name w:val="st1"/>
    <w:rsid w:val="00A701F7"/>
    <w:rPr>
      <w:rFonts w:cs="Times New Roman"/>
    </w:rPr>
  </w:style>
  <w:style w:type="paragraph" w:customStyle="1" w:styleId="EndNoteBibliographyTitle">
    <w:name w:val="EndNote Bibliography Title"/>
    <w:basedOn w:val="a"/>
    <w:link w:val="EndNoteBibliographyTitle0"/>
    <w:rsid w:val="00A701F7"/>
    <w:pPr>
      <w:suppressAutoHyphens/>
      <w:kinsoku w:val="0"/>
      <w:wordWrap w:val="0"/>
      <w:overflowPunct w:val="0"/>
      <w:autoSpaceDE w:val="0"/>
      <w:autoSpaceDN w:val="0"/>
      <w:adjustRightInd w:val="0"/>
      <w:ind w:firstLineChars="0" w:firstLine="0"/>
      <w:jc w:val="center"/>
      <w:textAlignment w:val="baseline"/>
    </w:pPr>
    <w:rPr>
      <w:rFonts w:eastAsia="MS Mincho"/>
      <w:noProof/>
      <w:kern w:val="0"/>
      <w:sz w:val="20"/>
      <w:lang w:eastAsia="ja-JP"/>
    </w:rPr>
  </w:style>
  <w:style w:type="character" w:customStyle="1" w:styleId="EndNoteBibliographyTitle0">
    <w:name w:val="EndNote Bibliography Title (文字)"/>
    <w:basedOn w:val="a0"/>
    <w:link w:val="EndNoteBibliographyTitle"/>
    <w:rsid w:val="00A701F7"/>
    <w:rPr>
      <w:rFonts w:ascii="Times New Roman" w:eastAsia="MS Mincho" w:hAnsi="Times New Roman" w:cs="Times New Roman"/>
      <w:noProof/>
      <w:kern w:val="0"/>
      <w:sz w:val="20"/>
      <w:szCs w:val="21"/>
      <w:lang w:eastAsia="ja-JP"/>
    </w:rPr>
  </w:style>
  <w:style w:type="paragraph" w:customStyle="1" w:styleId="EndNoteBibliography">
    <w:name w:val="EndNote Bibliography"/>
    <w:basedOn w:val="a"/>
    <w:link w:val="EndNoteBibliography0"/>
    <w:rsid w:val="00A701F7"/>
    <w:pPr>
      <w:suppressAutoHyphens/>
      <w:kinsoku w:val="0"/>
      <w:wordWrap w:val="0"/>
      <w:overflowPunct w:val="0"/>
      <w:autoSpaceDE w:val="0"/>
      <w:autoSpaceDN w:val="0"/>
      <w:adjustRightInd w:val="0"/>
      <w:ind w:firstLineChars="0" w:firstLine="0"/>
      <w:textAlignment w:val="baseline"/>
    </w:pPr>
    <w:rPr>
      <w:rFonts w:eastAsia="MS Mincho"/>
      <w:noProof/>
      <w:kern w:val="0"/>
      <w:sz w:val="20"/>
      <w:lang w:eastAsia="ja-JP"/>
    </w:rPr>
  </w:style>
  <w:style w:type="character" w:customStyle="1" w:styleId="EndNoteBibliography0">
    <w:name w:val="EndNote Bibliography (文字)"/>
    <w:basedOn w:val="a0"/>
    <w:link w:val="EndNoteBibliography"/>
    <w:rsid w:val="00A701F7"/>
    <w:rPr>
      <w:rFonts w:ascii="Times New Roman" w:eastAsia="MS Mincho" w:hAnsi="Times New Roman" w:cs="Times New Roman"/>
      <w:noProof/>
      <w:kern w:val="0"/>
      <w:sz w:val="20"/>
      <w:szCs w:val="21"/>
      <w:lang w:eastAsia="ja-JP"/>
    </w:rPr>
  </w:style>
  <w:style w:type="table" w:customStyle="1" w:styleId="20">
    <w:name w:val="浅色底纹2"/>
    <w:basedOn w:val="a1"/>
    <w:uiPriority w:val="60"/>
    <w:rsid w:val="00D51C66"/>
    <w:pPr>
      <w:jc w:val="left"/>
    </w:pPr>
    <w:rPr>
      <w:rFonts w:ascii="Times New Roman" w:eastAsia="MS Mincho" w:hAnsi="Times New Roman" w:cs="Times New Roman"/>
      <w:color w:val="000000" w:themeColor="text1" w:themeShade="BF"/>
      <w:kern w:val="0"/>
      <w:sz w:val="20"/>
      <w:szCs w:val="20"/>
      <w:lang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322394315">
      <w:bodyDiv w:val="1"/>
      <w:marLeft w:val="0"/>
      <w:marRight w:val="0"/>
      <w:marTop w:val="0"/>
      <w:marBottom w:val="0"/>
      <w:divBdr>
        <w:top w:val="none" w:sz="0" w:space="0" w:color="auto"/>
        <w:left w:val="none" w:sz="0" w:space="0" w:color="auto"/>
        <w:bottom w:val="none" w:sz="0" w:space="0" w:color="auto"/>
        <w:right w:val="none" w:sz="0" w:space="0" w:color="auto"/>
      </w:divBdr>
    </w:div>
    <w:div w:id="1460686459">
      <w:bodyDiv w:val="1"/>
      <w:marLeft w:val="0"/>
      <w:marRight w:val="0"/>
      <w:marTop w:val="0"/>
      <w:marBottom w:val="0"/>
      <w:divBdr>
        <w:top w:val="none" w:sz="0" w:space="0" w:color="auto"/>
        <w:left w:val="none" w:sz="0" w:space="0" w:color="auto"/>
        <w:bottom w:val="none" w:sz="0" w:space="0" w:color="auto"/>
        <w:right w:val="none" w:sz="0" w:space="0" w:color="auto"/>
      </w:divBdr>
    </w:div>
    <w:div w:id="196287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http://ejje.weblio.jp/content/Wilcoxon+signed-rank+test" TargetMode="External"/><Relationship Id="rId26"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hyperlink" Target="http://ejje.weblio.jp/content/separation+of" TargetMode="Externa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chart" Target="charts/chart3.xml"/><Relationship Id="rId25" Type="http://schemas.openxmlformats.org/officeDocument/2006/relationships/oleObject" Target="embeddings/oleObject4.bin"/><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hyperlink" Target="http://ejje.weblio.jp/content/notice+of+correction+or+determination" TargetMode="External"/><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image" Target="media/image4.wmf"/><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http://ejje.weblio.jp/content/management" TargetMode="External"/><Relationship Id="rId28" Type="http://schemas.openxmlformats.org/officeDocument/2006/relationships/header" Target="header1.xml"/><Relationship Id="rId36" Type="http://schemas.openxmlformats.org/officeDocument/2006/relationships/header" Target="header5.xml"/><Relationship Id="rId10" Type="http://schemas.openxmlformats.org/officeDocument/2006/relationships/chart" Target="charts/chart2.xml"/><Relationship Id="rId19" Type="http://schemas.openxmlformats.org/officeDocument/2006/relationships/hyperlink" Target="http://ejje.weblio.jp/content/notice+of+correction+or+determination"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oleObject" Target="embeddings/oleObject2.bin"/><Relationship Id="rId22" Type="http://schemas.openxmlformats.org/officeDocument/2006/relationships/hyperlink" Target="http://ejje.weblio.jp/content/ownership" TargetMode="External"/><Relationship Id="rId27" Type="http://schemas.openxmlformats.org/officeDocument/2006/relationships/oleObject" Target="embeddings/oleObject5.bin"/><Relationship Id="rId30" Type="http://schemas.openxmlformats.org/officeDocument/2006/relationships/footer" Target="footer1.xml"/><Relationship Id="rId35" Type="http://schemas.openxmlformats.org/officeDocument/2006/relationships/hyperlink" Target="http://www.nta.go.jp/kohyo/press/press/2013/sogo_kyogi/pdf/01.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tok\Desktop\&#31227;&#36578;&#20385;&#26684;&#22259;2013AP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tok\Desktop\&#31227;&#36578;&#20385;&#26684;&#22259;2013APA.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2007_Workbook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barChart>
        <c:barDir val="col"/>
        <c:grouping val="clustered"/>
        <c:ser>
          <c:idx val="0"/>
          <c:order val="0"/>
          <c:tx>
            <c:strRef>
              <c:f>Sheet1!$C$3</c:f>
              <c:strCache>
                <c:ptCount val="1"/>
                <c:pt idx="0">
                  <c:v>Inventory trade</c:v>
                </c:pt>
              </c:strCache>
            </c:strRef>
          </c:tx>
          <c:dLbls>
            <c:txPr>
              <a:bodyPr/>
              <a:lstStyle/>
              <a:p>
                <a:pPr>
                  <a:defRPr lang="en-US"/>
                </a:pPr>
                <a:endParaRPr lang="en-US"/>
              </a:p>
            </c:txPr>
            <c:showVal val="1"/>
            <c:extLst>
              <c:ext xmlns:c15="http://schemas.microsoft.com/office/drawing/2012/chart" uri="{CE6537A1-D6FC-4f65-9D91-7224C49458BB}">
                <c15:showLeaderLines val="0"/>
              </c:ext>
            </c:extLst>
          </c:dLbls>
          <c:cat>
            <c:numRef>
              <c:f>Sheet1!$B$4:$B$8</c:f>
              <c:numCache>
                <c:formatCode>General</c:formatCode>
                <c:ptCount val="5"/>
                <c:pt idx="0">
                  <c:v>2007</c:v>
                </c:pt>
                <c:pt idx="1">
                  <c:v>2008</c:v>
                </c:pt>
                <c:pt idx="2">
                  <c:v>2009</c:v>
                </c:pt>
                <c:pt idx="3">
                  <c:v>2010</c:v>
                </c:pt>
                <c:pt idx="4">
                  <c:v>2011</c:v>
                </c:pt>
              </c:numCache>
            </c:numRef>
          </c:cat>
          <c:val>
            <c:numRef>
              <c:f>Sheet1!$C$4:$C$8</c:f>
              <c:numCache>
                <c:formatCode>General</c:formatCode>
                <c:ptCount val="5"/>
                <c:pt idx="0">
                  <c:v>67</c:v>
                </c:pt>
                <c:pt idx="1">
                  <c:v>82</c:v>
                </c:pt>
                <c:pt idx="2">
                  <c:v>79</c:v>
                </c:pt>
                <c:pt idx="3">
                  <c:v>99</c:v>
                </c:pt>
                <c:pt idx="4">
                  <c:v>94</c:v>
                </c:pt>
              </c:numCache>
            </c:numRef>
          </c:val>
        </c:ser>
        <c:ser>
          <c:idx val="1"/>
          <c:order val="1"/>
          <c:tx>
            <c:strRef>
              <c:f>Sheet1!$D$3</c:f>
              <c:strCache>
                <c:ptCount val="1"/>
                <c:pt idx="0">
                  <c:v>Service rendering trade</c:v>
                </c:pt>
              </c:strCache>
            </c:strRef>
          </c:tx>
          <c:dLbls>
            <c:txPr>
              <a:bodyPr/>
              <a:lstStyle/>
              <a:p>
                <a:pPr>
                  <a:defRPr lang="en-US"/>
                </a:pPr>
                <a:endParaRPr lang="en-US"/>
              </a:p>
            </c:txPr>
            <c:showVal val="1"/>
            <c:extLst>
              <c:ext xmlns:c15="http://schemas.microsoft.com/office/drawing/2012/chart" uri="{CE6537A1-D6FC-4f65-9D91-7224C49458BB}">
                <c15:showLeaderLines val="0"/>
              </c:ext>
            </c:extLst>
          </c:dLbls>
          <c:cat>
            <c:numRef>
              <c:f>Sheet1!$B$4:$B$8</c:f>
              <c:numCache>
                <c:formatCode>General</c:formatCode>
                <c:ptCount val="5"/>
                <c:pt idx="0">
                  <c:v>2007</c:v>
                </c:pt>
                <c:pt idx="1">
                  <c:v>2008</c:v>
                </c:pt>
                <c:pt idx="2">
                  <c:v>2009</c:v>
                </c:pt>
                <c:pt idx="3">
                  <c:v>2010</c:v>
                </c:pt>
                <c:pt idx="4">
                  <c:v>2011</c:v>
                </c:pt>
              </c:numCache>
            </c:numRef>
          </c:cat>
          <c:val>
            <c:numRef>
              <c:f>Sheet1!$D$4:$D$8</c:f>
              <c:numCache>
                <c:formatCode>General</c:formatCode>
                <c:ptCount val="5"/>
                <c:pt idx="0">
                  <c:v>26</c:v>
                </c:pt>
                <c:pt idx="1">
                  <c:v>31</c:v>
                </c:pt>
                <c:pt idx="2">
                  <c:v>45</c:v>
                </c:pt>
                <c:pt idx="3">
                  <c:v>71</c:v>
                </c:pt>
                <c:pt idx="4">
                  <c:v>61</c:v>
                </c:pt>
              </c:numCache>
            </c:numRef>
          </c:val>
        </c:ser>
        <c:ser>
          <c:idx val="2"/>
          <c:order val="2"/>
          <c:tx>
            <c:strRef>
              <c:f>Sheet1!$E$3</c:f>
              <c:strCache>
                <c:ptCount val="1"/>
                <c:pt idx="0">
                  <c:v>Intangible asset trade</c:v>
                </c:pt>
              </c:strCache>
            </c:strRef>
          </c:tx>
          <c:spPr>
            <a:solidFill>
              <a:schemeClr val="tx1"/>
            </a:solidFill>
          </c:spPr>
          <c:dLbls>
            <c:txPr>
              <a:bodyPr/>
              <a:lstStyle/>
              <a:p>
                <a:pPr>
                  <a:defRPr lang="en-US"/>
                </a:pPr>
                <a:endParaRPr lang="en-US"/>
              </a:p>
            </c:txPr>
            <c:showVal val="1"/>
            <c:extLst>
              <c:ext xmlns:c15="http://schemas.microsoft.com/office/drawing/2012/chart" uri="{CE6537A1-D6FC-4f65-9D91-7224C49458BB}">
                <c15:showLeaderLines val="0"/>
              </c:ext>
            </c:extLst>
          </c:dLbls>
          <c:cat>
            <c:numRef>
              <c:f>Sheet1!$B$4:$B$8</c:f>
              <c:numCache>
                <c:formatCode>General</c:formatCode>
                <c:ptCount val="5"/>
                <c:pt idx="0">
                  <c:v>2007</c:v>
                </c:pt>
                <c:pt idx="1">
                  <c:v>2008</c:v>
                </c:pt>
                <c:pt idx="2">
                  <c:v>2009</c:v>
                </c:pt>
                <c:pt idx="3">
                  <c:v>2010</c:v>
                </c:pt>
                <c:pt idx="4">
                  <c:v>2011</c:v>
                </c:pt>
              </c:numCache>
            </c:numRef>
          </c:cat>
          <c:val>
            <c:numRef>
              <c:f>Sheet1!$E$4:$E$8</c:f>
              <c:numCache>
                <c:formatCode>General</c:formatCode>
                <c:ptCount val="5"/>
                <c:pt idx="0">
                  <c:v>28</c:v>
                </c:pt>
                <c:pt idx="1">
                  <c:v>36</c:v>
                </c:pt>
                <c:pt idx="2">
                  <c:v>39</c:v>
                </c:pt>
                <c:pt idx="3">
                  <c:v>51</c:v>
                </c:pt>
                <c:pt idx="4">
                  <c:v>51</c:v>
                </c:pt>
              </c:numCache>
            </c:numRef>
          </c:val>
        </c:ser>
        <c:axId val="154482560"/>
        <c:axId val="154484096"/>
      </c:barChart>
      <c:catAx>
        <c:axId val="154482560"/>
        <c:scaling>
          <c:orientation val="minMax"/>
        </c:scaling>
        <c:axPos val="b"/>
        <c:numFmt formatCode="General" sourceLinked="1"/>
        <c:tickLblPos val="nextTo"/>
        <c:spPr>
          <a:noFill/>
        </c:spPr>
        <c:txPr>
          <a:bodyPr/>
          <a:lstStyle/>
          <a:p>
            <a:pPr>
              <a:defRPr lang="en-US"/>
            </a:pPr>
            <a:endParaRPr lang="en-US"/>
          </a:p>
        </c:txPr>
        <c:crossAx val="154484096"/>
        <c:crosses val="autoZero"/>
        <c:auto val="1"/>
        <c:lblAlgn val="ctr"/>
        <c:lblOffset val="100"/>
      </c:catAx>
      <c:valAx>
        <c:axId val="154484096"/>
        <c:scaling>
          <c:orientation val="minMax"/>
        </c:scaling>
        <c:axPos val="l"/>
        <c:majorGridlines/>
        <c:numFmt formatCode="General" sourceLinked="1"/>
        <c:tickLblPos val="nextTo"/>
        <c:spPr>
          <a:noFill/>
        </c:spPr>
        <c:txPr>
          <a:bodyPr/>
          <a:lstStyle/>
          <a:p>
            <a:pPr>
              <a:defRPr lang="en-US"/>
            </a:pPr>
            <a:endParaRPr lang="en-US"/>
          </a:p>
        </c:txPr>
        <c:crossAx val="154482560"/>
        <c:crosses val="autoZero"/>
        <c:crossBetween val="between"/>
      </c:valAx>
      <c:spPr>
        <a:noFill/>
      </c:spPr>
    </c:plotArea>
    <c:legend>
      <c:legendPos val="r"/>
      <c:spPr>
        <a:noFill/>
      </c:spPr>
      <c:txPr>
        <a:bodyPr/>
        <a:lstStyle/>
        <a:p>
          <a:pPr>
            <a:defRPr lang="en-US"/>
          </a:pPr>
          <a:endParaRPr lang="en-US"/>
        </a:p>
      </c:txPr>
    </c:legend>
    <c:plotVisOnly val="1"/>
    <c:dispBlanksAs val="gap"/>
  </c:chart>
  <c:spPr>
    <a:noFill/>
    <a:ln>
      <a:solidFill>
        <a:schemeClr val="tx1"/>
      </a:solidFill>
    </a:ln>
  </c:spPr>
  <c:txPr>
    <a:bodyPr/>
    <a:lstStyle/>
    <a:p>
      <a:pPr>
        <a:defRPr sz="900">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barChart>
        <c:barDir val="col"/>
        <c:grouping val="clustered"/>
        <c:ser>
          <c:idx val="0"/>
          <c:order val="0"/>
          <c:tx>
            <c:strRef>
              <c:f>Sheet2!$C$35</c:f>
              <c:strCache>
                <c:ptCount val="1"/>
                <c:pt idx="0">
                  <c:v>Basic three methods</c:v>
                </c:pt>
              </c:strCache>
            </c:strRef>
          </c:tx>
          <c:dLbls>
            <c:txPr>
              <a:bodyPr/>
              <a:lstStyle/>
              <a:p>
                <a:pPr>
                  <a:defRPr lang="en-US"/>
                </a:pPr>
                <a:endParaRPr lang="en-US"/>
              </a:p>
            </c:txPr>
            <c:showVal val="1"/>
            <c:extLst>
              <c:ext xmlns:c15="http://schemas.microsoft.com/office/drawing/2012/chart" uri="{CE6537A1-D6FC-4f65-9D91-7224C49458BB}">
                <c15:showLeaderLines val="0"/>
              </c:ext>
            </c:extLst>
          </c:dLbls>
          <c:cat>
            <c:numRef>
              <c:f>Sheet2!$B$36:$B$41</c:f>
              <c:numCache>
                <c:formatCode>General</c:formatCode>
                <c:ptCount val="6"/>
                <c:pt idx="0">
                  <c:v>2007</c:v>
                </c:pt>
                <c:pt idx="1">
                  <c:v>2008</c:v>
                </c:pt>
                <c:pt idx="2">
                  <c:v>2009</c:v>
                </c:pt>
                <c:pt idx="3">
                  <c:v>2010</c:v>
                </c:pt>
                <c:pt idx="4">
                  <c:v>2011</c:v>
                </c:pt>
                <c:pt idx="5">
                  <c:v>2012</c:v>
                </c:pt>
              </c:numCache>
            </c:numRef>
          </c:cat>
          <c:val>
            <c:numRef>
              <c:f>Sheet2!$C$36:$C$41</c:f>
              <c:numCache>
                <c:formatCode>General</c:formatCode>
                <c:ptCount val="6"/>
                <c:pt idx="0">
                  <c:v>34</c:v>
                </c:pt>
                <c:pt idx="1">
                  <c:v>20</c:v>
                </c:pt>
                <c:pt idx="2">
                  <c:v>17</c:v>
                </c:pt>
                <c:pt idx="3">
                  <c:v>35</c:v>
                </c:pt>
                <c:pt idx="4">
                  <c:v>10</c:v>
                </c:pt>
                <c:pt idx="5">
                  <c:v>11</c:v>
                </c:pt>
              </c:numCache>
            </c:numRef>
          </c:val>
        </c:ser>
        <c:ser>
          <c:idx val="1"/>
          <c:order val="1"/>
          <c:tx>
            <c:strRef>
              <c:f>Sheet2!$D$35</c:f>
              <c:strCache>
                <c:ptCount val="1"/>
                <c:pt idx="0">
                  <c:v>Profit split  </c:v>
                </c:pt>
              </c:strCache>
            </c:strRef>
          </c:tx>
          <c:dLbls>
            <c:txPr>
              <a:bodyPr/>
              <a:lstStyle/>
              <a:p>
                <a:pPr>
                  <a:defRPr lang="en-US"/>
                </a:pPr>
                <a:endParaRPr lang="en-US"/>
              </a:p>
            </c:txPr>
            <c:showVal val="1"/>
            <c:extLst>
              <c:ext xmlns:c15="http://schemas.microsoft.com/office/drawing/2012/chart" uri="{CE6537A1-D6FC-4f65-9D91-7224C49458BB}">
                <c15:showLeaderLines val="0"/>
              </c:ext>
            </c:extLst>
          </c:dLbls>
          <c:cat>
            <c:numRef>
              <c:f>Sheet2!$B$36:$B$41</c:f>
              <c:numCache>
                <c:formatCode>General</c:formatCode>
                <c:ptCount val="6"/>
                <c:pt idx="0">
                  <c:v>2007</c:v>
                </c:pt>
                <c:pt idx="1">
                  <c:v>2008</c:v>
                </c:pt>
                <c:pt idx="2">
                  <c:v>2009</c:v>
                </c:pt>
                <c:pt idx="3">
                  <c:v>2010</c:v>
                </c:pt>
                <c:pt idx="4">
                  <c:v>2011</c:v>
                </c:pt>
                <c:pt idx="5">
                  <c:v>2012</c:v>
                </c:pt>
              </c:numCache>
            </c:numRef>
          </c:cat>
          <c:val>
            <c:numRef>
              <c:f>Sheet2!$D$36:$D$41</c:f>
              <c:numCache>
                <c:formatCode>General</c:formatCode>
                <c:ptCount val="6"/>
                <c:pt idx="0">
                  <c:v>7</c:v>
                </c:pt>
                <c:pt idx="1">
                  <c:v>5</c:v>
                </c:pt>
                <c:pt idx="2">
                  <c:v>18</c:v>
                </c:pt>
                <c:pt idx="3">
                  <c:v>8</c:v>
                </c:pt>
                <c:pt idx="4">
                  <c:v>26</c:v>
                </c:pt>
                <c:pt idx="5">
                  <c:v>16</c:v>
                </c:pt>
              </c:numCache>
            </c:numRef>
          </c:val>
        </c:ser>
        <c:ser>
          <c:idx val="2"/>
          <c:order val="2"/>
          <c:tx>
            <c:strRef>
              <c:f>Sheet2!$E$35</c:f>
              <c:strCache>
                <c:ptCount val="1"/>
                <c:pt idx="0">
                  <c:v>TNMM</c:v>
                </c:pt>
              </c:strCache>
            </c:strRef>
          </c:tx>
          <c:spPr>
            <a:solidFill>
              <a:sysClr val="windowText" lastClr="000000"/>
            </a:solidFill>
          </c:spPr>
          <c:dLbls>
            <c:txPr>
              <a:bodyPr/>
              <a:lstStyle/>
              <a:p>
                <a:pPr>
                  <a:defRPr lang="en-US"/>
                </a:pPr>
                <a:endParaRPr lang="en-US"/>
              </a:p>
            </c:txPr>
            <c:showVal val="1"/>
            <c:extLst>
              <c:ext xmlns:c15="http://schemas.microsoft.com/office/drawing/2012/chart" uri="{CE6537A1-D6FC-4f65-9D91-7224C49458BB}">
                <c15:showLeaderLines val="0"/>
              </c:ext>
            </c:extLst>
          </c:dLbls>
          <c:cat>
            <c:numRef>
              <c:f>Sheet2!$B$36:$B$41</c:f>
              <c:numCache>
                <c:formatCode>General</c:formatCode>
                <c:ptCount val="6"/>
                <c:pt idx="0">
                  <c:v>2007</c:v>
                </c:pt>
                <c:pt idx="1">
                  <c:v>2008</c:v>
                </c:pt>
                <c:pt idx="2">
                  <c:v>2009</c:v>
                </c:pt>
                <c:pt idx="3">
                  <c:v>2010</c:v>
                </c:pt>
                <c:pt idx="4">
                  <c:v>2011</c:v>
                </c:pt>
                <c:pt idx="5">
                  <c:v>2012</c:v>
                </c:pt>
              </c:numCache>
            </c:numRef>
          </c:cat>
          <c:val>
            <c:numRef>
              <c:f>Sheet2!$E$36:$E$41</c:f>
              <c:numCache>
                <c:formatCode>General</c:formatCode>
                <c:ptCount val="6"/>
                <c:pt idx="0">
                  <c:v>50</c:v>
                </c:pt>
                <c:pt idx="1">
                  <c:v>61</c:v>
                </c:pt>
                <c:pt idx="2">
                  <c:v>61</c:v>
                </c:pt>
                <c:pt idx="3">
                  <c:v>78</c:v>
                </c:pt>
                <c:pt idx="4">
                  <c:v>70</c:v>
                </c:pt>
                <c:pt idx="5">
                  <c:v>97</c:v>
                </c:pt>
              </c:numCache>
            </c:numRef>
          </c:val>
        </c:ser>
        <c:axId val="165287808"/>
        <c:axId val="174105344"/>
      </c:barChart>
      <c:catAx>
        <c:axId val="165287808"/>
        <c:scaling>
          <c:orientation val="minMax"/>
        </c:scaling>
        <c:axPos val="b"/>
        <c:numFmt formatCode="General" sourceLinked="1"/>
        <c:tickLblPos val="nextTo"/>
        <c:spPr>
          <a:noFill/>
        </c:spPr>
        <c:txPr>
          <a:bodyPr/>
          <a:lstStyle/>
          <a:p>
            <a:pPr>
              <a:defRPr lang="en-US"/>
            </a:pPr>
            <a:endParaRPr lang="en-US"/>
          </a:p>
        </c:txPr>
        <c:crossAx val="174105344"/>
        <c:crosses val="autoZero"/>
        <c:auto val="1"/>
        <c:lblAlgn val="ctr"/>
        <c:lblOffset val="100"/>
      </c:catAx>
      <c:valAx>
        <c:axId val="174105344"/>
        <c:scaling>
          <c:orientation val="minMax"/>
          <c:max val="100"/>
        </c:scaling>
        <c:axPos val="l"/>
        <c:majorGridlines/>
        <c:numFmt formatCode="General" sourceLinked="1"/>
        <c:tickLblPos val="nextTo"/>
        <c:spPr>
          <a:noFill/>
        </c:spPr>
        <c:txPr>
          <a:bodyPr/>
          <a:lstStyle/>
          <a:p>
            <a:pPr>
              <a:defRPr lang="en-US"/>
            </a:pPr>
            <a:endParaRPr lang="en-US"/>
          </a:p>
        </c:txPr>
        <c:crossAx val="165287808"/>
        <c:crosses val="autoZero"/>
        <c:crossBetween val="between"/>
        <c:majorUnit val="20"/>
      </c:valAx>
      <c:spPr>
        <a:noFill/>
      </c:spPr>
    </c:plotArea>
    <c:legend>
      <c:legendPos val="r"/>
      <c:spPr>
        <a:noFill/>
      </c:spPr>
      <c:txPr>
        <a:bodyPr/>
        <a:lstStyle/>
        <a:p>
          <a:pPr>
            <a:defRPr lang="en-US"/>
          </a:pPr>
          <a:endParaRPr lang="en-US"/>
        </a:p>
      </c:txPr>
    </c:legend>
    <c:plotVisOnly val="1"/>
    <c:dispBlanksAs val="gap"/>
  </c:chart>
  <c:spPr>
    <a:noFill/>
    <a:ln>
      <a:solidFill>
        <a:sysClr val="windowText" lastClr="000000"/>
      </a:solidFill>
    </a:ln>
  </c:spPr>
  <c:txPr>
    <a:bodyPr/>
    <a:lstStyle/>
    <a:p>
      <a:pPr>
        <a:defRPr sz="900">
          <a:latin typeface="Times New Roman" pitchFamily="18" charset="0"/>
          <a:cs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890942567050207E-2"/>
          <c:y val="6.2585034013605503E-2"/>
          <c:w val="0.91623343554240255"/>
          <c:h val="0.84564572285607464"/>
        </c:manualLayout>
      </c:layout>
      <c:lineChart>
        <c:grouping val="standard"/>
        <c:ser>
          <c:idx val="0"/>
          <c:order val="0"/>
          <c:tx>
            <c:strRef>
              <c:f>'C:\Users\hiroshiMANU\Documents\research_2\transferprice\[H24.5.07_CAR再計算.xlsx]originAR'!$AV$1</c:f>
              <c:strCache>
                <c:ptCount val="1"/>
                <c:pt idx="0">
                  <c:v>平均AR</c:v>
                </c:pt>
              </c:strCache>
            </c:strRef>
          </c:tx>
          <c:cat>
            <c:numRef>
              <c:f>'C:\Users\hiroshiMANU\Documents\research_2\transferprice\[H24.5.07_CAR再計算.xlsx]originAR'!$A$3:$A$23</c:f>
              <c:numCache>
                <c:formatCode>General</c:formatCode>
                <c:ptCount val="21"/>
                <c:pt idx="0">
                  <c:v>-10</c:v>
                </c:pt>
                <c:pt idx="1">
                  <c:v>-9</c:v>
                </c:pt>
                <c:pt idx="2">
                  <c:v>-8</c:v>
                </c:pt>
                <c:pt idx="3">
                  <c:v>-7</c:v>
                </c:pt>
                <c:pt idx="4">
                  <c:v>-6</c:v>
                </c:pt>
                <c:pt idx="5">
                  <c:v>-5</c:v>
                </c:pt>
                <c:pt idx="6">
                  <c:v>-4</c:v>
                </c:pt>
                <c:pt idx="7">
                  <c:v>-3</c:v>
                </c:pt>
                <c:pt idx="8">
                  <c:v>-2</c:v>
                </c:pt>
                <c:pt idx="9">
                  <c:v>-1</c:v>
                </c:pt>
                <c:pt idx="10">
                  <c:v>0</c:v>
                </c:pt>
                <c:pt idx="11">
                  <c:v>1</c:v>
                </c:pt>
                <c:pt idx="12">
                  <c:v>2</c:v>
                </c:pt>
                <c:pt idx="13">
                  <c:v>3</c:v>
                </c:pt>
                <c:pt idx="14">
                  <c:v>4</c:v>
                </c:pt>
                <c:pt idx="15">
                  <c:v>5</c:v>
                </c:pt>
                <c:pt idx="16">
                  <c:v>6</c:v>
                </c:pt>
                <c:pt idx="17">
                  <c:v>7</c:v>
                </c:pt>
                <c:pt idx="18">
                  <c:v>8</c:v>
                </c:pt>
                <c:pt idx="19">
                  <c:v>9</c:v>
                </c:pt>
                <c:pt idx="20">
                  <c:v>10</c:v>
                </c:pt>
              </c:numCache>
            </c:numRef>
          </c:cat>
          <c:val>
            <c:numRef>
              <c:f>'C:\Users\hiroshiMANU\Documents\research_2\transferprice\[H24.5.07_CAR再計算.xlsx]originAR'!$AV$3:$AV$23</c:f>
              <c:numCache>
                <c:formatCode>General</c:formatCode>
                <c:ptCount val="21"/>
                <c:pt idx="0">
                  <c:v>-0.47738548140923565</c:v>
                </c:pt>
                <c:pt idx="1">
                  <c:v>-0.85763027235755263</c:v>
                </c:pt>
                <c:pt idx="2">
                  <c:v>0.27511864984925527</c:v>
                </c:pt>
                <c:pt idx="3">
                  <c:v>0.22766748202741452</c:v>
                </c:pt>
                <c:pt idx="4">
                  <c:v>-2.3245062680415582E-2</c:v>
                </c:pt>
                <c:pt idx="5">
                  <c:v>8.1735839552427747E-2</c:v>
                </c:pt>
                <c:pt idx="6">
                  <c:v>0.51907718955175941</c:v>
                </c:pt>
                <c:pt idx="7">
                  <c:v>-0.46634026635549986</c:v>
                </c:pt>
                <c:pt idx="8">
                  <c:v>-0.4856985457169733</c:v>
                </c:pt>
                <c:pt idx="9">
                  <c:v>-0.43031274857913138</c:v>
                </c:pt>
                <c:pt idx="10">
                  <c:v>-0.29373977592011785</c:v>
                </c:pt>
                <c:pt idx="11">
                  <c:v>-0.14128783222077779</c:v>
                </c:pt>
                <c:pt idx="12">
                  <c:v>-0.4482763277134878</c:v>
                </c:pt>
                <c:pt idx="13">
                  <c:v>-0.18772739280553363</c:v>
                </c:pt>
                <c:pt idx="14">
                  <c:v>-0.15307846346660506</c:v>
                </c:pt>
                <c:pt idx="15">
                  <c:v>0.15422588263191234</c:v>
                </c:pt>
                <c:pt idx="16">
                  <c:v>-0.13288969235887318</c:v>
                </c:pt>
                <c:pt idx="17">
                  <c:v>8.4279354256008465E-2</c:v>
                </c:pt>
                <c:pt idx="18">
                  <c:v>-7.2216273847114446E-2</c:v>
                </c:pt>
                <c:pt idx="19">
                  <c:v>-0.1463579784977514</c:v>
                </c:pt>
                <c:pt idx="20">
                  <c:v>-2.3309286580206045E-2</c:v>
                </c:pt>
              </c:numCache>
            </c:numRef>
          </c:val>
        </c:ser>
        <c:marker val="1"/>
        <c:axId val="200511488"/>
        <c:axId val="201778304"/>
      </c:lineChart>
      <c:catAx>
        <c:axId val="200511488"/>
        <c:scaling>
          <c:orientation val="minMax"/>
        </c:scaling>
        <c:axPos val="b"/>
        <c:title>
          <c:tx>
            <c:rich>
              <a:bodyPr/>
              <a:lstStyle/>
              <a:p>
                <a:pPr>
                  <a:defRPr lang="zh-CN" sz="800"/>
                </a:pPr>
                <a:r>
                  <a:rPr lang="en-US" sz="800" b="0"/>
                  <a:t>Days</a:t>
                </a:r>
                <a:endParaRPr lang="ja-JP" sz="800" b="0"/>
              </a:p>
            </c:rich>
          </c:tx>
          <c:layout>
            <c:manualLayout>
              <c:xMode val="edge"/>
              <c:yMode val="edge"/>
              <c:x val="0.48931096129944779"/>
              <c:y val="0.28782259360437273"/>
            </c:manualLayout>
          </c:layout>
        </c:title>
        <c:numFmt formatCode="General" sourceLinked="1"/>
        <c:tickLblPos val="nextTo"/>
        <c:spPr>
          <a:noFill/>
        </c:spPr>
        <c:txPr>
          <a:bodyPr/>
          <a:lstStyle/>
          <a:p>
            <a:pPr>
              <a:defRPr lang="zh-CN" sz="800"/>
            </a:pPr>
            <a:endParaRPr lang="en-US"/>
          </a:p>
        </c:txPr>
        <c:crossAx val="201778304"/>
        <c:crosses val="autoZero"/>
        <c:auto val="1"/>
        <c:lblAlgn val="ctr"/>
        <c:lblOffset val="100"/>
      </c:catAx>
      <c:valAx>
        <c:axId val="201778304"/>
        <c:scaling>
          <c:orientation val="minMax"/>
        </c:scaling>
        <c:axPos val="l"/>
        <c:majorGridlines/>
        <c:numFmt formatCode="General" sourceLinked="1"/>
        <c:tickLblPos val="nextTo"/>
        <c:spPr>
          <a:noFill/>
        </c:spPr>
        <c:txPr>
          <a:bodyPr/>
          <a:lstStyle/>
          <a:p>
            <a:pPr>
              <a:defRPr lang="zh-CN" sz="700"/>
            </a:pPr>
            <a:endParaRPr lang="en-US"/>
          </a:p>
        </c:txPr>
        <c:crossAx val="200511488"/>
        <c:crosses val="autoZero"/>
        <c:crossBetween val="between"/>
      </c:valAx>
      <c:spPr>
        <a:noFill/>
      </c:spPr>
    </c:plotArea>
    <c:plotVisOnly val="1"/>
    <c:dispBlanksAs val="gap"/>
  </c:chart>
  <c:spPr>
    <a:noFill/>
  </c:spPr>
  <c:txPr>
    <a:bodyPr/>
    <a:lstStyle/>
    <a:p>
      <a:pPr>
        <a:defRPr sz="900">
          <a:latin typeface="Times New Roman" pitchFamily="18" charset="0"/>
          <a:cs typeface="Times New Roman" pitchFamily="18" charset="0"/>
        </a:defRPr>
      </a:pPr>
      <a:endParaRPr lang="en-US"/>
    </a:p>
  </c:txPr>
  <c:externalData r:id="rId2"/>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C34224D-1B5B-4C24-87F8-EF4076CF7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17</Pages>
  <Words>8428</Words>
  <Characters>48042</Characters>
  <Application>Microsoft Office Word</Application>
  <DocSecurity>0</DocSecurity>
  <Lines>400</Lines>
  <Paragraphs>112</Paragraphs>
  <ScaleCrop>false</ScaleCrop>
  <Company>微软中国</Company>
  <LinksUpToDate>false</LinksUpToDate>
  <CharactersWithSpaces>56358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37</cp:revision>
  <cp:lastPrinted>2015-02-05T01:40:00Z</cp:lastPrinted>
  <dcterms:created xsi:type="dcterms:W3CDTF">2015-01-29T07:52:00Z</dcterms:created>
  <dcterms:modified xsi:type="dcterms:W3CDTF">2015-02-27T09:14:00Z</dcterms:modified>
</cp:coreProperties>
</file>